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B011" w14:textId="77777777" w:rsidR="0082411D" w:rsidRPr="0082411D" w:rsidRDefault="0082411D" w:rsidP="0082411D">
      <w:pPr>
        <w:jc w:val="both"/>
        <w:rPr>
          <w:b/>
          <w:bCs/>
          <w:lang w:val="de-DE"/>
        </w:rPr>
      </w:pPr>
      <w:r w:rsidRPr="0082411D">
        <w:rPr>
          <w:b/>
          <w:bCs/>
          <w:lang w:val="de-DE"/>
        </w:rPr>
        <w:t>16. OKTOBER 2025 -</w:t>
      </w:r>
      <w:r w:rsidRPr="0082411D">
        <w:rPr>
          <w:b/>
          <w:lang w:val="de-DE"/>
        </w:rPr>
        <w:t xml:space="preserve"> Königlicher Erlass zur Abänderung des Königlichen Erlasses vom 24. Januar 2024 über die Eisenbahnbeförderung gefährlicher Güter, mit Ausnahme von explosionsfähigen und radioaktiven Stoffen</w:t>
      </w:r>
    </w:p>
    <w:p w14:paraId="56ABA79D" w14:textId="77777777" w:rsidR="00233F36" w:rsidRPr="0082411D" w:rsidRDefault="00233F36" w:rsidP="00127CA8">
      <w:pPr>
        <w:jc w:val="both"/>
        <w:rPr>
          <w:lang w:val="de-DE"/>
        </w:rPr>
      </w:pPr>
    </w:p>
    <w:p w14:paraId="124A1338" w14:textId="77777777" w:rsidR="00233F36" w:rsidRPr="0082411D" w:rsidRDefault="00233F36">
      <w:pPr>
        <w:rPr>
          <w:lang w:val="de-DE"/>
        </w:rPr>
      </w:pPr>
    </w:p>
    <w:p w14:paraId="3ED01560" w14:textId="277E0714" w:rsidR="00233F36" w:rsidRPr="0082411D" w:rsidRDefault="00233F36" w:rsidP="000F5F44">
      <w:pPr>
        <w:jc w:val="center"/>
        <w:rPr>
          <w:i/>
          <w:lang w:val="de-DE"/>
        </w:rPr>
      </w:pPr>
      <w:r w:rsidRPr="0082411D">
        <w:rPr>
          <w:lang w:val="de-DE"/>
        </w:rPr>
        <w:t>(</w:t>
      </w:r>
      <w:r w:rsidRPr="0082411D">
        <w:rPr>
          <w:i/>
          <w:lang w:val="de-DE"/>
        </w:rPr>
        <w:t xml:space="preserve">Belgisches Staatsblatt </w:t>
      </w:r>
      <w:r w:rsidRPr="0082411D">
        <w:rPr>
          <w:lang w:val="de-DE"/>
        </w:rPr>
        <w:t xml:space="preserve">vom </w:t>
      </w:r>
      <w:r w:rsidR="0082411D" w:rsidRPr="0082411D">
        <w:rPr>
          <w:lang w:val="de-DE"/>
        </w:rPr>
        <w:t>2. April 2026</w:t>
      </w:r>
      <w:r w:rsidRPr="0082411D">
        <w:rPr>
          <w:lang w:val="de-DE"/>
        </w:rPr>
        <w:t>)</w:t>
      </w:r>
    </w:p>
    <w:p w14:paraId="4FD0C908" w14:textId="77777777" w:rsidR="00233F36" w:rsidRPr="0082411D" w:rsidRDefault="00233F36" w:rsidP="000F5F44">
      <w:pPr>
        <w:jc w:val="center"/>
        <w:rPr>
          <w:lang w:val="de-DE"/>
        </w:rPr>
      </w:pPr>
    </w:p>
    <w:p w14:paraId="17BD2AD9" w14:textId="77777777" w:rsidR="00233F36" w:rsidRPr="0082411D" w:rsidRDefault="00233F36" w:rsidP="00CA081B">
      <w:pPr>
        <w:jc w:val="center"/>
        <w:rPr>
          <w:lang w:val="de-DE"/>
        </w:rPr>
      </w:pPr>
    </w:p>
    <w:p w14:paraId="4F2192BC" w14:textId="77777777" w:rsidR="00233F36" w:rsidRPr="0082411D" w:rsidRDefault="00233F36" w:rsidP="00CA081B">
      <w:pPr>
        <w:jc w:val="both"/>
        <w:rPr>
          <w:lang w:val="de-DE"/>
        </w:rPr>
      </w:pPr>
      <w:r w:rsidRPr="0082411D">
        <w:rPr>
          <w:lang w:val="de-DE"/>
        </w:rPr>
        <w:t>Diese deutsche Übersetzung ist von der Zentralen Dienststelle für Deutsche Übersetzungen in Malmedy erstellt worden.</w:t>
      </w:r>
    </w:p>
    <w:p w14:paraId="56071036" w14:textId="77777777" w:rsidR="00E1687C" w:rsidRPr="0082411D" w:rsidRDefault="00E1687C" w:rsidP="00CA081B">
      <w:pPr>
        <w:jc w:val="both"/>
        <w:rPr>
          <w:lang w:val="de-DE"/>
        </w:rPr>
      </w:pPr>
    </w:p>
    <w:p w14:paraId="6805C041" w14:textId="77777777" w:rsidR="00E1687C" w:rsidRPr="0082411D" w:rsidRDefault="00E1687C" w:rsidP="00CA081B">
      <w:pPr>
        <w:jc w:val="both"/>
        <w:rPr>
          <w:lang w:val="de-DE"/>
        </w:rPr>
      </w:pPr>
    </w:p>
    <w:p w14:paraId="3FAD793F" w14:textId="77777777" w:rsidR="00233F36" w:rsidRPr="0082411D" w:rsidRDefault="00233F36" w:rsidP="006F4381">
      <w:pPr>
        <w:jc w:val="both"/>
        <w:rPr>
          <w:lang w:val="de-DE"/>
        </w:rPr>
        <w:sectPr w:rsidR="00233F36" w:rsidRPr="0082411D" w:rsidSect="0051470C">
          <w:pgSz w:w="11906" w:h="16838" w:code="9"/>
          <w:pgMar w:top="1418" w:right="1418" w:bottom="1418" w:left="1418" w:header="709" w:footer="709" w:gutter="0"/>
          <w:cols w:space="708"/>
          <w:vAlign w:val="center"/>
          <w:docGrid w:linePitch="360"/>
        </w:sectPr>
      </w:pPr>
    </w:p>
    <w:p w14:paraId="50DAD373" w14:textId="77777777" w:rsidR="0082411D" w:rsidRPr="0082411D" w:rsidRDefault="0082411D" w:rsidP="00EB188B">
      <w:pPr>
        <w:jc w:val="center"/>
        <w:rPr>
          <w:b/>
          <w:bCs/>
          <w:caps/>
          <w:lang w:val="de-DE"/>
        </w:rPr>
      </w:pPr>
      <w:r w:rsidRPr="0082411D">
        <w:rPr>
          <w:b/>
          <w:caps/>
          <w:lang w:val="de-DE"/>
        </w:rPr>
        <w:lastRenderedPageBreak/>
        <w:t>FÖDERALER ÖFFENTLICHER DIENST MOBILITÄT UND TRANSPORTWESEN</w:t>
      </w:r>
    </w:p>
    <w:p w14:paraId="75EEC695" w14:textId="77777777" w:rsidR="0082411D" w:rsidRPr="0082411D" w:rsidRDefault="0082411D" w:rsidP="00091E1A">
      <w:pPr>
        <w:jc w:val="both"/>
        <w:rPr>
          <w:b/>
          <w:bCs/>
          <w:lang w:val="de-DE"/>
        </w:rPr>
      </w:pPr>
    </w:p>
    <w:p w14:paraId="644530DF" w14:textId="77777777" w:rsidR="0082411D" w:rsidRPr="0082411D" w:rsidRDefault="0082411D" w:rsidP="00091E1A">
      <w:pPr>
        <w:jc w:val="both"/>
        <w:rPr>
          <w:b/>
          <w:bCs/>
          <w:lang w:val="de-DE"/>
        </w:rPr>
      </w:pPr>
    </w:p>
    <w:p w14:paraId="4D70C6D5" w14:textId="77777777" w:rsidR="0082411D" w:rsidRPr="0082411D" w:rsidRDefault="0082411D" w:rsidP="00091E1A">
      <w:pPr>
        <w:jc w:val="both"/>
        <w:rPr>
          <w:b/>
          <w:bCs/>
          <w:lang w:val="de-DE"/>
        </w:rPr>
      </w:pPr>
      <w:r w:rsidRPr="0082411D">
        <w:rPr>
          <w:b/>
          <w:bCs/>
          <w:lang w:val="de-DE"/>
        </w:rPr>
        <w:t>16. OKTOBER 2025 -</w:t>
      </w:r>
      <w:r w:rsidRPr="0082411D">
        <w:rPr>
          <w:b/>
          <w:lang w:val="de-DE"/>
        </w:rPr>
        <w:t xml:space="preserve"> Königlicher Erlass zur Abänderung des Königlichen Erlasses vom 24. Januar 2024 über die Eisenbahnbeförderung gefährlicher Güter, mit Ausnahme von explosionsfähigen und radioaktiven Stoffen</w:t>
      </w:r>
    </w:p>
    <w:p w14:paraId="7A88C1D3" w14:textId="77777777" w:rsidR="0082411D" w:rsidRPr="0082411D" w:rsidRDefault="0082411D" w:rsidP="00091E1A">
      <w:pPr>
        <w:jc w:val="both"/>
        <w:rPr>
          <w:b/>
          <w:bCs/>
          <w:lang w:val="de-DE"/>
        </w:rPr>
      </w:pPr>
    </w:p>
    <w:p w14:paraId="6B80C3CB" w14:textId="77777777" w:rsidR="0082411D" w:rsidRPr="0082411D" w:rsidRDefault="0082411D" w:rsidP="00091E1A">
      <w:pPr>
        <w:jc w:val="both"/>
        <w:rPr>
          <w:lang w:val="de-DE"/>
        </w:rPr>
      </w:pPr>
    </w:p>
    <w:p w14:paraId="45E44499" w14:textId="77777777" w:rsidR="0082411D" w:rsidRPr="0082411D" w:rsidRDefault="0082411D" w:rsidP="00091E1A">
      <w:pPr>
        <w:jc w:val="both"/>
        <w:rPr>
          <w:lang w:val="de-DE"/>
        </w:rPr>
      </w:pPr>
      <w:r w:rsidRPr="0082411D">
        <w:rPr>
          <w:lang w:val="de-DE"/>
        </w:rPr>
        <w:tab/>
      </w:r>
      <w:r w:rsidRPr="0082411D">
        <w:rPr>
          <w:lang w:val="de-DE"/>
        </w:rPr>
        <w:tab/>
      </w:r>
      <w:r w:rsidRPr="0082411D">
        <w:rPr>
          <w:lang w:val="de-DE"/>
        </w:rPr>
        <w:tab/>
        <w:t>PHILIPPE, König der Belgier,</w:t>
      </w:r>
    </w:p>
    <w:p w14:paraId="6128732D" w14:textId="77777777" w:rsidR="0082411D" w:rsidRPr="0082411D" w:rsidRDefault="0082411D" w:rsidP="00091E1A">
      <w:pPr>
        <w:jc w:val="both"/>
        <w:rPr>
          <w:lang w:val="de-DE"/>
        </w:rPr>
      </w:pPr>
    </w:p>
    <w:p w14:paraId="67D77E21" w14:textId="77777777" w:rsidR="0082411D" w:rsidRPr="0082411D" w:rsidRDefault="0082411D" w:rsidP="00091E1A">
      <w:pPr>
        <w:jc w:val="both"/>
        <w:rPr>
          <w:lang w:val="de-DE"/>
        </w:rPr>
      </w:pPr>
      <w:r w:rsidRPr="0082411D">
        <w:rPr>
          <w:lang w:val="de-DE"/>
        </w:rPr>
        <w:tab/>
      </w:r>
      <w:r w:rsidRPr="0082411D">
        <w:rPr>
          <w:lang w:val="de-DE"/>
        </w:rPr>
        <w:tab/>
        <w:t>Allen Gegenwärtigen und Zukünftigen, Unser Gruß!</w:t>
      </w:r>
    </w:p>
    <w:p w14:paraId="510EB0B2" w14:textId="77777777" w:rsidR="0082411D" w:rsidRPr="0082411D" w:rsidRDefault="0082411D" w:rsidP="00091E1A">
      <w:pPr>
        <w:jc w:val="both"/>
        <w:rPr>
          <w:lang w:val="de-DE"/>
        </w:rPr>
      </w:pPr>
    </w:p>
    <w:p w14:paraId="3B9D8E68" w14:textId="77777777" w:rsidR="0082411D" w:rsidRPr="0082411D" w:rsidRDefault="0082411D" w:rsidP="00091E1A">
      <w:pPr>
        <w:jc w:val="both"/>
        <w:rPr>
          <w:lang w:val="de-DE"/>
        </w:rPr>
      </w:pPr>
    </w:p>
    <w:p w14:paraId="266CFB48" w14:textId="77777777" w:rsidR="0082411D" w:rsidRPr="0082411D" w:rsidRDefault="0082411D" w:rsidP="00091E1A">
      <w:pPr>
        <w:jc w:val="both"/>
        <w:rPr>
          <w:lang w:val="de-DE"/>
        </w:rPr>
      </w:pPr>
      <w:r w:rsidRPr="0082411D">
        <w:rPr>
          <w:lang w:val="de-DE"/>
        </w:rPr>
        <w:tab/>
        <w:t>Aufgrund des Gesetzes vom 18. Februar 1969 über Maßnahmen zur Ausführung internationaler Verträge und Akte über Personen- und Güterbeförderung im See-, Straßen-, Eisenbahn- und Binnenschiffsverkehr, des Artikels 1, abgeändert durch die Gesetze vom 21. Juni 1985, 28. Juli 1987, 15. Mai 2006 und 8. Mai 2019;</w:t>
      </w:r>
    </w:p>
    <w:p w14:paraId="3DF0C848" w14:textId="77777777" w:rsidR="0082411D" w:rsidRPr="0082411D" w:rsidRDefault="0082411D" w:rsidP="00091E1A">
      <w:pPr>
        <w:jc w:val="both"/>
        <w:rPr>
          <w:lang w:val="de-DE"/>
        </w:rPr>
      </w:pPr>
    </w:p>
    <w:p w14:paraId="594044CD" w14:textId="77777777" w:rsidR="0082411D" w:rsidRPr="0082411D" w:rsidRDefault="0082411D" w:rsidP="00091E1A">
      <w:pPr>
        <w:jc w:val="both"/>
        <w:rPr>
          <w:lang w:val="de-DE"/>
        </w:rPr>
      </w:pPr>
      <w:r w:rsidRPr="0082411D">
        <w:rPr>
          <w:lang w:val="de-DE"/>
        </w:rPr>
        <w:tab/>
        <w:t>Aufgrund des Königlichen Erlasses vom 24. Januar 2024 über die Beförderung gefährlicher Güter im Schienenverkehr, mit Ausnahme von explosionsfähigen und radioaktiven Stoffen;</w:t>
      </w:r>
    </w:p>
    <w:p w14:paraId="119C53BA" w14:textId="77777777" w:rsidR="0082411D" w:rsidRPr="0082411D" w:rsidRDefault="0082411D" w:rsidP="00091E1A">
      <w:pPr>
        <w:jc w:val="both"/>
        <w:rPr>
          <w:lang w:val="de-DE"/>
        </w:rPr>
      </w:pPr>
    </w:p>
    <w:p w14:paraId="3544C596" w14:textId="77777777" w:rsidR="0082411D" w:rsidRPr="0082411D" w:rsidRDefault="0082411D" w:rsidP="00091E1A">
      <w:pPr>
        <w:jc w:val="both"/>
        <w:rPr>
          <w:lang w:val="de-DE"/>
        </w:rPr>
      </w:pPr>
      <w:r w:rsidRPr="0082411D">
        <w:rPr>
          <w:lang w:val="de-DE"/>
        </w:rPr>
        <w:tab/>
        <w:t>Aufgrund der Auswirkungsanalyse beim Erlass von Vorschriften, die gemäß den Artikeln 6 und 7 des Gesetzes vom 15. Dezember 2013 zur Festlegung verschiedener Bestimmungen in Sachen administrative Vereinfachung durchgeführt worden ist;</w:t>
      </w:r>
    </w:p>
    <w:p w14:paraId="2A5CDC1E" w14:textId="77777777" w:rsidR="0082411D" w:rsidRPr="0082411D" w:rsidRDefault="0082411D" w:rsidP="00091E1A">
      <w:pPr>
        <w:jc w:val="both"/>
        <w:rPr>
          <w:lang w:val="de-DE"/>
        </w:rPr>
      </w:pPr>
    </w:p>
    <w:p w14:paraId="47752F75" w14:textId="77777777" w:rsidR="0082411D" w:rsidRPr="0082411D" w:rsidRDefault="0082411D" w:rsidP="00091E1A">
      <w:pPr>
        <w:jc w:val="both"/>
        <w:rPr>
          <w:lang w:val="de-DE"/>
        </w:rPr>
      </w:pPr>
      <w:r w:rsidRPr="0082411D">
        <w:rPr>
          <w:lang w:val="de-DE"/>
        </w:rPr>
        <w:tab/>
        <w:t>Aufgrund der Beteiligung der Regionalregierungen;</w:t>
      </w:r>
    </w:p>
    <w:p w14:paraId="75AA7D0F" w14:textId="77777777" w:rsidR="0082411D" w:rsidRPr="0082411D" w:rsidRDefault="0082411D" w:rsidP="00091E1A">
      <w:pPr>
        <w:jc w:val="both"/>
        <w:rPr>
          <w:lang w:val="de-DE"/>
        </w:rPr>
      </w:pPr>
    </w:p>
    <w:p w14:paraId="288C9552" w14:textId="77777777" w:rsidR="0082411D" w:rsidRPr="0082411D" w:rsidRDefault="0082411D" w:rsidP="00091E1A">
      <w:pPr>
        <w:jc w:val="both"/>
        <w:rPr>
          <w:lang w:val="de-DE"/>
        </w:rPr>
      </w:pPr>
      <w:r w:rsidRPr="0082411D">
        <w:rPr>
          <w:lang w:val="de-DE"/>
        </w:rPr>
        <w:tab/>
        <w:t>Aufgrund der Stellungnahme des Finanzinspektors vom 25. März 2025;</w:t>
      </w:r>
    </w:p>
    <w:p w14:paraId="344941C8" w14:textId="77777777" w:rsidR="0082411D" w:rsidRPr="0082411D" w:rsidRDefault="0082411D" w:rsidP="00091E1A">
      <w:pPr>
        <w:jc w:val="both"/>
        <w:rPr>
          <w:lang w:val="de-DE"/>
        </w:rPr>
      </w:pPr>
    </w:p>
    <w:p w14:paraId="796D6B12" w14:textId="77777777" w:rsidR="0082411D" w:rsidRPr="0082411D" w:rsidRDefault="0082411D" w:rsidP="00091E1A">
      <w:pPr>
        <w:jc w:val="both"/>
        <w:rPr>
          <w:lang w:val="de-DE"/>
        </w:rPr>
      </w:pPr>
      <w:r w:rsidRPr="0082411D">
        <w:rPr>
          <w:lang w:val="de-DE"/>
        </w:rPr>
        <w:tab/>
        <w:t>Aufgrund des Einverständnisses des Ministers des Haushalts vom 24. April 2025;</w:t>
      </w:r>
    </w:p>
    <w:p w14:paraId="75B19470" w14:textId="77777777" w:rsidR="0082411D" w:rsidRPr="0082411D" w:rsidRDefault="0082411D" w:rsidP="00091E1A">
      <w:pPr>
        <w:jc w:val="both"/>
        <w:rPr>
          <w:lang w:val="de-DE"/>
        </w:rPr>
      </w:pPr>
    </w:p>
    <w:p w14:paraId="3898731E" w14:textId="77777777" w:rsidR="0082411D" w:rsidRPr="0082411D" w:rsidRDefault="0082411D" w:rsidP="00091E1A">
      <w:pPr>
        <w:jc w:val="both"/>
        <w:rPr>
          <w:lang w:val="de-DE"/>
        </w:rPr>
      </w:pPr>
      <w:r w:rsidRPr="0082411D">
        <w:rPr>
          <w:lang w:val="de-DE"/>
        </w:rPr>
        <w:tab/>
        <w:t>Aufgrund des Gutachtens Nr. 78.136/4 des Staatsrates vom 17. September 2025, abgegeben in Anwendung von Artikel 84 § 1 Absatz 1 Nr. 2 der am 12. Januar 1973 koordinierten Gesetze über den Staatsrat;</w:t>
      </w:r>
    </w:p>
    <w:p w14:paraId="4B850510" w14:textId="77777777" w:rsidR="0082411D" w:rsidRPr="0082411D" w:rsidRDefault="0082411D" w:rsidP="00091E1A">
      <w:pPr>
        <w:jc w:val="both"/>
        <w:rPr>
          <w:lang w:val="de-DE"/>
        </w:rPr>
      </w:pPr>
    </w:p>
    <w:p w14:paraId="4920155F" w14:textId="77777777" w:rsidR="0082411D" w:rsidRPr="0082411D" w:rsidRDefault="0082411D" w:rsidP="00091E1A">
      <w:pPr>
        <w:jc w:val="both"/>
        <w:rPr>
          <w:lang w:val="de-DE"/>
        </w:rPr>
      </w:pPr>
      <w:r w:rsidRPr="0082411D">
        <w:rPr>
          <w:lang w:val="de-DE"/>
        </w:rPr>
        <w:tab/>
        <w:t>Auf Vorschlag des Ministers der Wirtschaft und des Ministers der Mobilität und aufgrund der Stellungnahme der Minister, die im Rat darüber beraten haben,</w:t>
      </w:r>
    </w:p>
    <w:p w14:paraId="6EE0C031" w14:textId="77777777" w:rsidR="0082411D" w:rsidRPr="0082411D" w:rsidRDefault="0082411D" w:rsidP="00091E1A">
      <w:pPr>
        <w:jc w:val="both"/>
        <w:rPr>
          <w:lang w:val="de-DE"/>
        </w:rPr>
      </w:pPr>
    </w:p>
    <w:p w14:paraId="3F39FA1B" w14:textId="77777777" w:rsidR="0082411D" w:rsidRPr="0082411D" w:rsidRDefault="0082411D" w:rsidP="00091E1A">
      <w:pPr>
        <w:jc w:val="both"/>
        <w:rPr>
          <w:lang w:val="de-DE"/>
        </w:rPr>
      </w:pPr>
    </w:p>
    <w:p w14:paraId="2E3CC3A3" w14:textId="77777777" w:rsidR="0082411D" w:rsidRPr="0082411D" w:rsidRDefault="0082411D" w:rsidP="00091E1A">
      <w:pPr>
        <w:jc w:val="both"/>
        <w:rPr>
          <w:lang w:val="de-DE"/>
        </w:rPr>
      </w:pPr>
      <w:r w:rsidRPr="0082411D">
        <w:rPr>
          <w:lang w:val="de-DE"/>
        </w:rPr>
        <w:tab/>
      </w:r>
      <w:r w:rsidRPr="0082411D">
        <w:rPr>
          <w:lang w:val="de-DE"/>
        </w:rPr>
        <w:tab/>
        <w:t>Haben Wir beschlossen und erlassen Wir:</w:t>
      </w:r>
    </w:p>
    <w:p w14:paraId="6C2A1848" w14:textId="77777777" w:rsidR="0082411D" w:rsidRPr="0082411D" w:rsidRDefault="0082411D" w:rsidP="00091E1A">
      <w:pPr>
        <w:jc w:val="both"/>
        <w:rPr>
          <w:lang w:val="de-DE"/>
        </w:rPr>
      </w:pPr>
    </w:p>
    <w:p w14:paraId="25F27AB8" w14:textId="77777777" w:rsidR="0082411D" w:rsidRPr="0082411D" w:rsidRDefault="0082411D" w:rsidP="00091E1A">
      <w:pPr>
        <w:jc w:val="both"/>
        <w:rPr>
          <w:lang w:val="de-DE"/>
        </w:rPr>
      </w:pPr>
    </w:p>
    <w:p w14:paraId="625AA25C" w14:textId="77777777" w:rsidR="0082411D" w:rsidRPr="0082411D" w:rsidRDefault="0082411D" w:rsidP="00EB188B">
      <w:pPr>
        <w:jc w:val="center"/>
        <w:rPr>
          <w:i/>
          <w:iCs/>
          <w:lang w:val="de-DE"/>
        </w:rPr>
      </w:pPr>
      <w:r w:rsidRPr="0082411D">
        <w:rPr>
          <w:lang w:val="de-DE"/>
        </w:rPr>
        <w:t>KAPITEL 1 -</w:t>
      </w:r>
      <w:r w:rsidRPr="0082411D">
        <w:rPr>
          <w:i/>
          <w:lang w:val="de-DE"/>
        </w:rPr>
        <w:t xml:space="preserve"> Allgemeine Bestimmungen</w:t>
      </w:r>
    </w:p>
    <w:p w14:paraId="4A138222" w14:textId="77777777" w:rsidR="0082411D" w:rsidRPr="0082411D" w:rsidRDefault="0082411D" w:rsidP="00091E1A">
      <w:pPr>
        <w:jc w:val="both"/>
        <w:rPr>
          <w:lang w:val="de-DE"/>
        </w:rPr>
      </w:pPr>
    </w:p>
    <w:p w14:paraId="69741C9A" w14:textId="77777777" w:rsidR="0082411D" w:rsidRPr="0082411D" w:rsidRDefault="0082411D" w:rsidP="00091E1A">
      <w:pPr>
        <w:jc w:val="both"/>
        <w:rPr>
          <w:lang w:val="de-DE"/>
        </w:rPr>
      </w:pPr>
    </w:p>
    <w:p w14:paraId="267A4060" w14:textId="77777777" w:rsidR="0082411D" w:rsidRPr="0082411D" w:rsidRDefault="0082411D" w:rsidP="00091E1A">
      <w:pPr>
        <w:jc w:val="both"/>
        <w:rPr>
          <w:lang w:val="de-DE"/>
        </w:rPr>
      </w:pPr>
      <w:r w:rsidRPr="0082411D">
        <w:rPr>
          <w:b/>
          <w:lang w:val="de-DE"/>
        </w:rPr>
        <w:tab/>
        <w:t>Artikel 1 -</w:t>
      </w:r>
      <w:r w:rsidRPr="0082411D">
        <w:rPr>
          <w:lang w:val="de-DE"/>
        </w:rPr>
        <w:t xml:space="preserve"> Vorliegender Erlass dient der Teilumsetzung der Delegierten Richtlinie (EU) 2025/149 der Kommission vom 15. November 2024 zur Anpassung der Anhänge der Richtlinie 2008/68/EG des Europäischen Parlaments und des Rates an den wissenschaftlichen und technischen Fortschritt.</w:t>
      </w:r>
    </w:p>
    <w:p w14:paraId="3B046317" w14:textId="77777777" w:rsidR="0082411D" w:rsidRPr="0082411D" w:rsidRDefault="0082411D" w:rsidP="00091E1A">
      <w:pPr>
        <w:jc w:val="both"/>
        <w:rPr>
          <w:lang w:val="de-DE"/>
        </w:rPr>
      </w:pPr>
    </w:p>
    <w:p w14:paraId="325A3662" w14:textId="77777777" w:rsidR="0082411D" w:rsidRPr="0082411D" w:rsidRDefault="0082411D" w:rsidP="00091E1A">
      <w:pPr>
        <w:jc w:val="both"/>
        <w:rPr>
          <w:lang w:val="de-DE"/>
        </w:rPr>
      </w:pPr>
    </w:p>
    <w:p w14:paraId="49E51CF3" w14:textId="77777777" w:rsidR="0082411D" w:rsidRPr="0082411D" w:rsidRDefault="0082411D" w:rsidP="00091E1A">
      <w:pPr>
        <w:jc w:val="both"/>
        <w:rPr>
          <w:i/>
          <w:iCs/>
          <w:lang w:val="de-DE"/>
        </w:rPr>
      </w:pPr>
      <w:r w:rsidRPr="0082411D">
        <w:rPr>
          <w:lang w:val="de-DE"/>
        </w:rPr>
        <w:t xml:space="preserve">KAPITEL 2 - </w:t>
      </w:r>
      <w:r w:rsidRPr="0082411D">
        <w:rPr>
          <w:i/>
          <w:lang w:val="de-DE"/>
        </w:rPr>
        <w:t>Abänderung des Königlichen Erlasses vom 24. Januar 2024 über die Eisenbahnbeförderung gefährlicher Güter, mit Ausnahme von explosionsfähigen und radioaktiven Stoffen</w:t>
      </w:r>
    </w:p>
    <w:p w14:paraId="75947DD3" w14:textId="77777777" w:rsidR="0082411D" w:rsidRPr="0082411D" w:rsidRDefault="0082411D" w:rsidP="00091E1A">
      <w:pPr>
        <w:jc w:val="both"/>
        <w:rPr>
          <w:lang w:val="de-DE"/>
        </w:rPr>
      </w:pPr>
    </w:p>
    <w:p w14:paraId="5CAC08E7" w14:textId="77777777" w:rsidR="0082411D" w:rsidRPr="0082411D" w:rsidRDefault="0082411D" w:rsidP="00091E1A">
      <w:pPr>
        <w:jc w:val="both"/>
        <w:rPr>
          <w:lang w:val="de-DE"/>
        </w:rPr>
      </w:pPr>
    </w:p>
    <w:p w14:paraId="4EDE6C7F" w14:textId="77777777" w:rsidR="0082411D" w:rsidRPr="0082411D" w:rsidRDefault="0082411D" w:rsidP="00091E1A">
      <w:pPr>
        <w:jc w:val="both"/>
        <w:rPr>
          <w:lang w:val="de-DE"/>
        </w:rPr>
      </w:pPr>
      <w:r w:rsidRPr="0082411D">
        <w:rPr>
          <w:b/>
          <w:lang w:val="de-DE"/>
        </w:rPr>
        <w:tab/>
      </w:r>
      <w:r w:rsidRPr="0082411D">
        <w:rPr>
          <w:b/>
          <w:bCs/>
          <w:lang w:val="de-DE"/>
        </w:rPr>
        <w:t>Art. 2 -</w:t>
      </w:r>
      <w:r w:rsidRPr="0082411D">
        <w:rPr>
          <w:lang w:val="de-DE"/>
        </w:rPr>
        <w:t xml:space="preserve"> In Artikel 1 des Königlichen Erlasses vom 24. Januar 2024 über die Eisenbahnbeförderung gefährlicher Güter, mit Ausnahme von explosionsfähigen und radioaktiven Stoffen, werden die Wörter "zuletzt geändert durch die delegierte Richtlinie (EU) 2022/2407 der Kommission vom 20. September 2022 zur Anpassung der Anhänge der Richtlinie 2008/68/EG des Europäischen Parlaments und des Rates an den wissenschaftlichen und technischen Fortschritt" durch die Wörter "zuletzt geändert durch die delegierte Richtlinie (EU) 2025/149 der Kommission vom 15. November 2024 zur Anpassung der Anhänge der Richtlinie 2008/68/EG des Europäischen Parlaments und des Rates an den wissenschaftlichen und technischen Fortschritt" ersetzt.</w:t>
      </w:r>
    </w:p>
    <w:p w14:paraId="45F5112A" w14:textId="77777777" w:rsidR="0082411D" w:rsidRPr="0082411D" w:rsidRDefault="0082411D" w:rsidP="00091E1A">
      <w:pPr>
        <w:jc w:val="both"/>
        <w:rPr>
          <w:lang w:val="de-DE"/>
        </w:rPr>
      </w:pPr>
    </w:p>
    <w:p w14:paraId="65A0479B" w14:textId="77777777" w:rsidR="0082411D" w:rsidRPr="0082411D" w:rsidRDefault="0082411D" w:rsidP="00091E1A">
      <w:pPr>
        <w:jc w:val="both"/>
        <w:rPr>
          <w:lang w:val="de-DE"/>
        </w:rPr>
      </w:pPr>
    </w:p>
    <w:p w14:paraId="50E7ECDC" w14:textId="77777777" w:rsidR="0082411D" w:rsidRPr="0082411D" w:rsidRDefault="0082411D" w:rsidP="00091E1A">
      <w:pPr>
        <w:jc w:val="both"/>
        <w:rPr>
          <w:lang w:val="de-DE"/>
        </w:rPr>
      </w:pPr>
      <w:r w:rsidRPr="0082411D">
        <w:rPr>
          <w:b/>
          <w:lang w:val="de-DE"/>
        </w:rPr>
        <w:tab/>
      </w:r>
      <w:r w:rsidRPr="0082411D">
        <w:rPr>
          <w:b/>
          <w:bCs/>
          <w:lang w:val="de-DE"/>
        </w:rPr>
        <w:t>Art. 3 -</w:t>
      </w:r>
      <w:r w:rsidRPr="0082411D">
        <w:rPr>
          <w:lang w:val="de-DE"/>
        </w:rPr>
        <w:t xml:space="preserve"> In Artikel 3 Nr. 9 desselben Erlasses werden die Wörter "9, mit Ausnahme der UN-Nummer 3268" durch die Wörter "9, mit Ausnahme der UN-Nummern 3268 und 3559" ersetzt.</w:t>
      </w:r>
    </w:p>
    <w:p w14:paraId="6C768ECF" w14:textId="77777777" w:rsidR="0082411D" w:rsidRPr="0082411D" w:rsidRDefault="0082411D" w:rsidP="00091E1A">
      <w:pPr>
        <w:jc w:val="both"/>
        <w:rPr>
          <w:lang w:val="de-DE"/>
        </w:rPr>
      </w:pPr>
    </w:p>
    <w:p w14:paraId="1B5181B4" w14:textId="77777777" w:rsidR="0082411D" w:rsidRPr="0082411D" w:rsidRDefault="0082411D" w:rsidP="00091E1A">
      <w:pPr>
        <w:jc w:val="both"/>
        <w:rPr>
          <w:lang w:val="de-DE"/>
        </w:rPr>
      </w:pPr>
    </w:p>
    <w:p w14:paraId="20E99C73" w14:textId="77777777" w:rsidR="0082411D" w:rsidRPr="0082411D" w:rsidRDefault="0082411D" w:rsidP="00091E1A">
      <w:pPr>
        <w:jc w:val="both"/>
        <w:rPr>
          <w:lang w:val="de-DE"/>
        </w:rPr>
      </w:pPr>
      <w:r w:rsidRPr="0082411D">
        <w:rPr>
          <w:b/>
          <w:lang w:val="de-DE"/>
        </w:rPr>
        <w:tab/>
      </w:r>
      <w:r w:rsidRPr="0082411D">
        <w:rPr>
          <w:b/>
          <w:bCs/>
          <w:lang w:val="de-DE"/>
        </w:rPr>
        <w:t>Art. 4 -</w:t>
      </w:r>
      <w:r w:rsidRPr="0082411D">
        <w:rPr>
          <w:b/>
          <w:lang w:val="de-DE"/>
        </w:rPr>
        <w:t xml:space="preserve"> </w:t>
      </w:r>
      <w:r w:rsidRPr="0082411D">
        <w:rPr>
          <w:lang w:val="de-DE"/>
        </w:rPr>
        <w:t>Artikel 20 § 1 desselben Erlasses wird wie folgt abgeändert:</w:t>
      </w:r>
    </w:p>
    <w:p w14:paraId="3D23BB3F" w14:textId="77777777" w:rsidR="0082411D" w:rsidRPr="0082411D" w:rsidRDefault="0082411D" w:rsidP="00091E1A">
      <w:pPr>
        <w:jc w:val="both"/>
        <w:rPr>
          <w:lang w:val="de-DE"/>
        </w:rPr>
      </w:pPr>
    </w:p>
    <w:p w14:paraId="1ED34711" w14:textId="77777777" w:rsidR="0082411D" w:rsidRPr="0082411D" w:rsidRDefault="0082411D" w:rsidP="00091E1A">
      <w:pPr>
        <w:jc w:val="both"/>
        <w:rPr>
          <w:lang w:val="de-DE"/>
        </w:rPr>
      </w:pPr>
      <w:r w:rsidRPr="0082411D">
        <w:rPr>
          <w:lang w:val="de-DE"/>
        </w:rPr>
        <w:tab/>
        <w:t>1. Nummer 2 wird wie folgt ersetzt:</w:t>
      </w:r>
    </w:p>
    <w:p w14:paraId="2A5A0F39" w14:textId="77777777" w:rsidR="0082411D" w:rsidRPr="0082411D" w:rsidRDefault="0082411D" w:rsidP="00091E1A">
      <w:pPr>
        <w:jc w:val="both"/>
        <w:rPr>
          <w:lang w:val="de-DE"/>
        </w:rPr>
      </w:pPr>
    </w:p>
    <w:p w14:paraId="5C06D273" w14:textId="77777777" w:rsidR="0082411D" w:rsidRPr="0082411D" w:rsidRDefault="0082411D" w:rsidP="00091E1A">
      <w:pPr>
        <w:jc w:val="both"/>
        <w:rPr>
          <w:lang w:val="de-DE"/>
        </w:rPr>
      </w:pPr>
      <w:r w:rsidRPr="0082411D">
        <w:rPr>
          <w:lang w:val="de-DE"/>
        </w:rPr>
        <w:tab/>
        <w:t>"2. Konformitätsbewertungen, wiederkehrende Prüfungen, Zulassung und Überwachung der betriebseigenen Prüfdienste gemäß der RID für die in Kapitel 6.2 RID beschriebenen Gefäße,".</w:t>
      </w:r>
    </w:p>
    <w:p w14:paraId="0CC47054" w14:textId="77777777" w:rsidR="0082411D" w:rsidRPr="0082411D" w:rsidRDefault="0082411D" w:rsidP="00091E1A">
      <w:pPr>
        <w:jc w:val="both"/>
        <w:rPr>
          <w:lang w:val="de-DE"/>
        </w:rPr>
      </w:pPr>
    </w:p>
    <w:p w14:paraId="6716053B" w14:textId="77777777" w:rsidR="0082411D" w:rsidRPr="0082411D" w:rsidRDefault="0082411D" w:rsidP="00091E1A">
      <w:pPr>
        <w:jc w:val="both"/>
        <w:rPr>
          <w:lang w:val="de-DE"/>
        </w:rPr>
      </w:pPr>
      <w:r w:rsidRPr="0082411D">
        <w:rPr>
          <w:lang w:val="de-DE"/>
        </w:rPr>
        <w:tab/>
        <w:t>2. </w:t>
      </w:r>
      <w:r w:rsidRPr="0082411D">
        <w:rPr>
          <w:i/>
          <w:iCs/>
          <w:lang w:val="de-DE"/>
        </w:rPr>
        <w:t>[Abänderung des niederländischen Textes]</w:t>
      </w:r>
    </w:p>
    <w:p w14:paraId="52D3838C" w14:textId="77777777" w:rsidR="0082411D" w:rsidRPr="0082411D" w:rsidRDefault="0082411D" w:rsidP="00091E1A">
      <w:pPr>
        <w:jc w:val="both"/>
        <w:rPr>
          <w:lang w:val="de-DE"/>
        </w:rPr>
      </w:pPr>
    </w:p>
    <w:p w14:paraId="176A66E8" w14:textId="77777777" w:rsidR="0082411D" w:rsidRPr="0082411D" w:rsidRDefault="0082411D" w:rsidP="00091E1A">
      <w:pPr>
        <w:jc w:val="both"/>
        <w:rPr>
          <w:lang w:val="de-DE"/>
        </w:rPr>
      </w:pPr>
      <w:r w:rsidRPr="0082411D">
        <w:rPr>
          <w:lang w:val="de-DE"/>
        </w:rPr>
        <w:tab/>
        <w:t>3. Nummer 6 wird wie folgt ersetzt:</w:t>
      </w:r>
    </w:p>
    <w:p w14:paraId="67FA8BF9" w14:textId="77777777" w:rsidR="0082411D" w:rsidRPr="0082411D" w:rsidRDefault="0082411D" w:rsidP="00091E1A">
      <w:pPr>
        <w:jc w:val="both"/>
        <w:rPr>
          <w:lang w:val="de-DE"/>
        </w:rPr>
      </w:pPr>
    </w:p>
    <w:p w14:paraId="11D8CA6B" w14:textId="77777777" w:rsidR="0082411D" w:rsidRPr="0082411D" w:rsidRDefault="0082411D" w:rsidP="00091E1A">
      <w:pPr>
        <w:jc w:val="both"/>
        <w:rPr>
          <w:lang w:val="de-DE"/>
        </w:rPr>
      </w:pPr>
      <w:r w:rsidRPr="0082411D">
        <w:rPr>
          <w:lang w:val="de-DE"/>
        </w:rPr>
        <w:tab/>
        <w:t>"6. Konformitätsbewertungen, wiederkehrende, Zwischen- und außerordentliche Prüfungen, Inbetriebnahmeüberprüfung sowie Zulassung und Überwachung der betriebseigenen Prüfdienste gemäß der RID und der Anlage 3 für die in Kapitel 6.8 RID beschriebenen Tanks,".</w:t>
      </w:r>
    </w:p>
    <w:p w14:paraId="44DA211F" w14:textId="77777777" w:rsidR="0082411D" w:rsidRPr="0082411D" w:rsidRDefault="0082411D" w:rsidP="00091E1A">
      <w:pPr>
        <w:jc w:val="both"/>
        <w:rPr>
          <w:lang w:val="de-DE"/>
        </w:rPr>
      </w:pPr>
    </w:p>
    <w:p w14:paraId="7F356937" w14:textId="77777777" w:rsidR="0082411D" w:rsidRPr="0082411D" w:rsidRDefault="0082411D" w:rsidP="00091E1A">
      <w:pPr>
        <w:jc w:val="both"/>
        <w:rPr>
          <w:lang w:val="de-DE"/>
        </w:rPr>
      </w:pPr>
    </w:p>
    <w:p w14:paraId="3F1263B5" w14:textId="77777777" w:rsidR="0082411D" w:rsidRPr="0082411D" w:rsidRDefault="0082411D" w:rsidP="00091E1A">
      <w:pPr>
        <w:jc w:val="both"/>
        <w:rPr>
          <w:lang w:val="de-DE"/>
        </w:rPr>
      </w:pPr>
      <w:r w:rsidRPr="0082411D">
        <w:rPr>
          <w:lang w:val="de-DE"/>
        </w:rPr>
        <w:tab/>
      </w:r>
      <w:r w:rsidRPr="0082411D">
        <w:rPr>
          <w:b/>
          <w:bCs/>
          <w:lang w:val="de-DE"/>
        </w:rPr>
        <w:t>Art. 5 -</w:t>
      </w:r>
      <w:r w:rsidRPr="0082411D">
        <w:rPr>
          <w:lang w:val="de-DE"/>
        </w:rPr>
        <w:t xml:space="preserve"> Artikel 22 Absatz 1 desselben Erlasses wird wie folgt abgeändert:</w:t>
      </w:r>
    </w:p>
    <w:p w14:paraId="3F87F2FE" w14:textId="77777777" w:rsidR="0082411D" w:rsidRPr="0082411D" w:rsidRDefault="0082411D" w:rsidP="00091E1A">
      <w:pPr>
        <w:jc w:val="both"/>
        <w:rPr>
          <w:lang w:val="de-DE"/>
        </w:rPr>
      </w:pPr>
    </w:p>
    <w:p w14:paraId="5D81C4C0" w14:textId="77777777" w:rsidR="0082411D" w:rsidRPr="0082411D" w:rsidRDefault="0082411D" w:rsidP="00091E1A">
      <w:pPr>
        <w:jc w:val="both"/>
        <w:rPr>
          <w:lang w:val="de-DE"/>
        </w:rPr>
      </w:pPr>
      <w:r w:rsidRPr="0082411D">
        <w:rPr>
          <w:lang w:val="de-DE"/>
        </w:rPr>
        <w:tab/>
        <w:t>1. Im einleitenden Satz werden zwischen dem Wort "kann" und den Wörtern "vorübergehend zugelassen werden" die Wörter "für diese" eingefügt.</w:t>
      </w:r>
    </w:p>
    <w:p w14:paraId="5665E8B8" w14:textId="77777777" w:rsidR="0082411D" w:rsidRPr="0082411D" w:rsidRDefault="0082411D" w:rsidP="00091E1A">
      <w:pPr>
        <w:jc w:val="both"/>
        <w:rPr>
          <w:lang w:val="de-DE"/>
        </w:rPr>
      </w:pPr>
    </w:p>
    <w:p w14:paraId="1E9DB50F" w14:textId="77777777" w:rsidR="0082411D" w:rsidRPr="0082411D" w:rsidRDefault="0082411D" w:rsidP="00091E1A">
      <w:pPr>
        <w:jc w:val="both"/>
        <w:rPr>
          <w:lang w:val="de-DE"/>
        </w:rPr>
      </w:pPr>
      <w:r w:rsidRPr="0082411D">
        <w:rPr>
          <w:lang w:val="de-DE"/>
        </w:rPr>
        <w:tab/>
        <w:t>2. In Nr. 1 Buchstabe </w:t>
      </w:r>
      <w:r w:rsidRPr="0082411D">
        <w:rPr>
          <w:i/>
          <w:lang w:val="de-DE"/>
        </w:rPr>
        <w:t>b)</w:t>
      </w:r>
      <w:r w:rsidRPr="0082411D">
        <w:rPr>
          <w:lang w:val="de-DE"/>
        </w:rPr>
        <w:t xml:space="preserve"> letzter Gedankenstrich werden vor den Wörtern "gemäß der Norm" die Wörter "für bestehende Tätigkeiten" eingefügt.</w:t>
      </w:r>
    </w:p>
    <w:p w14:paraId="2337CE9A" w14:textId="77777777" w:rsidR="0082411D" w:rsidRPr="0082411D" w:rsidRDefault="0082411D" w:rsidP="00091E1A">
      <w:pPr>
        <w:jc w:val="both"/>
        <w:rPr>
          <w:lang w:val="de-DE"/>
        </w:rPr>
      </w:pPr>
    </w:p>
    <w:p w14:paraId="2EFDAEBB" w14:textId="77777777" w:rsidR="0082411D" w:rsidRPr="0082411D" w:rsidRDefault="0082411D" w:rsidP="00091E1A">
      <w:pPr>
        <w:jc w:val="both"/>
        <w:rPr>
          <w:lang w:val="de-DE"/>
        </w:rPr>
      </w:pPr>
    </w:p>
    <w:p w14:paraId="55250C08" w14:textId="77777777" w:rsidR="0082411D" w:rsidRPr="0082411D" w:rsidRDefault="0082411D" w:rsidP="00091E1A">
      <w:pPr>
        <w:jc w:val="both"/>
        <w:rPr>
          <w:lang w:val="de-DE"/>
        </w:rPr>
      </w:pPr>
      <w:r w:rsidRPr="0082411D">
        <w:rPr>
          <w:lang w:val="de-DE"/>
        </w:rPr>
        <w:lastRenderedPageBreak/>
        <w:tab/>
      </w:r>
      <w:r w:rsidRPr="0082411D">
        <w:rPr>
          <w:b/>
          <w:bCs/>
          <w:lang w:val="de-DE"/>
        </w:rPr>
        <w:t>Art. 6 -</w:t>
      </w:r>
      <w:r w:rsidRPr="0082411D">
        <w:rPr>
          <w:lang w:val="de-DE"/>
        </w:rPr>
        <w:t xml:space="preserve"> Artikel 23 § 2 desselben Erlasses wird durch die Nummern 7 und 8 mit folgendem Wortlaut ergänzt:</w:t>
      </w:r>
    </w:p>
    <w:p w14:paraId="094B6F6B" w14:textId="77777777" w:rsidR="0082411D" w:rsidRPr="0082411D" w:rsidRDefault="0082411D" w:rsidP="00091E1A">
      <w:pPr>
        <w:jc w:val="both"/>
        <w:rPr>
          <w:lang w:val="de-DE"/>
        </w:rPr>
      </w:pPr>
    </w:p>
    <w:p w14:paraId="2DFE0D8D" w14:textId="77777777" w:rsidR="0082411D" w:rsidRPr="0082411D" w:rsidRDefault="0082411D" w:rsidP="00091E1A">
      <w:pPr>
        <w:jc w:val="both"/>
        <w:rPr>
          <w:lang w:val="de-DE"/>
        </w:rPr>
      </w:pPr>
      <w:r w:rsidRPr="0082411D">
        <w:rPr>
          <w:lang w:val="de-DE"/>
        </w:rPr>
        <w:tab/>
        <w:t>"7. eine Übersicht über die Zulassungsbescheinigungen für die in den Kapiteln 6.1, 6.2, 6.3, 6.5 und 6.6 RID beschriebenen Verpackungen, IBC, Großverpackungen und Gefäße,</w:t>
      </w:r>
    </w:p>
    <w:p w14:paraId="065A9E1D" w14:textId="77777777" w:rsidR="0082411D" w:rsidRPr="0082411D" w:rsidRDefault="0082411D" w:rsidP="00091E1A">
      <w:pPr>
        <w:jc w:val="both"/>
        <w:rPr>
          <w:lang w:val="de-DE"/>
        </w:rPr>
      </w:pPr>
    </w:p>
    <w:p w14:paraId="5D706160" w14:textId="77777777" w:rsidR="0082411D" w:rsidRPr="0082411D" w:rsidRDefault="0082411D" w:rsidP="00091E1A">
      <w:pPr>
        <w:jc w:val="both"/>
        <w:rPr>
          <w:lang w:val="de-DE"/>
        </w:rPr>
      </w:pPr>
      <w:r w:rsidRPr="0082411D">
        <w:rPr>
          <w:lang w:val="de-DE"/>
        </w:rPr>
        <w:tab/>
        <w:t>8. eine Übersicht über die Nachprüfungen im Rahmen der Überwachung der Herstellung und des Qualitätssicherungsprogramms für die in den Kapiteln 6.1, 6.3, 6.5 und 6.6 RID beschriebenen Verpackungen, IBC und Großverpackungen."</w:t>
      </w:r>
    </w:p>
    <w:p w14:paraId="3B548B79" w14:textId="77777777" w:rsidR="0082411D" w:rsidRPr="0082411D" w:rsidRDefault="0082411D" w:rsidP="00091E1A">
      <w:pPr>
        <w:jc w:val="both"/>
        <w:rPr>
          <w:lang w:val="de-DE"/>
        </w:rPr>
      </w:pPr>
    </w:p>
    <w:p w14:paraId="35777481" w14:textId="77777777" w:rsidR="0082411D" w:rsidRPr="0082411D" w:rsidRDefault="0082411D" w:rsidP="00091E1A">
      <w:pPr>
        <w:jc w:val="both"/>
        <w:rPr>
          <w:lang w:val="de-DE"/>
        </w:rPr>
      </w:pPr>
    </w:p>
    <w:p w14:paraId="42BD40A5" w14:textId="77777777" w:rsidR="0082411D" w:rsidRPr="0082411D" w:rsidRDefault="0082411D" w:rsidP="00091E1A">
      <w:pPr>
        <w:jc w:val="both"/>
        <w:rPr>
          <w:lang w:val="de-DE"/>
        </w:rPr>
      </w:pPr>
      <w:r w:rsidRPr="0082411D">
        <w:rPr>
          <w:b/>
          <w:lang w:val="de-DE"/>
        </w:rPr>
        <w:tab/>
        <w:t xml:space="preserve">Art. 7 - </w:t>
      </w:r>
      <w:r w:rsidRPr="0082411D">
        <w:rPr>
          <w:lang w:val="de-DE"/>
        </w:rPr>
        <w:t>In Artikel 24 § 2 desselben Erlasses werden im ersten Satz die Wörter "Hinsichtlich der Tätigkeiten in Bezug auf die Druckgefäße von Kapitel 6.2 und die Tanks von Kapitel 6.8 RID" durch die Wörter "Hinsichtlich der Tätigkeiten in Bezug auf die Kapitel 6.2 und 6.8 RID" ersetzt.</w:t>
      </w:r>
    </w:p>
    <w:p w14:paraId="7165D43A" w14:textId="77777777" w:rsidR="0082411D" w:rsidRPr="0082411D" w:rsidRDefault="0082411D" w:rsidP="00091E1A">
      <w:pPr>
        <w:jc w:val="both"/>
        <w:rPr>
          <w:lang w:val="de-DE"/>
        </w:rPr>
      </w:pPr>
    </w:p>
    <w:p w14:paraId="6A8BB08D" w14:textId="77777777" w:rsidR="0082411D" w:rsidRPr="0082411D" w:rsidRDefault="0082411D" w:rsidP="00091E1A">
      <w:pPr>
        <w:jc w:val="both"/>
        <w:rPr>
          <w:lang w:val="de-DE"/>
        </w:rPr>
      </w:pPr>
    </w:p>
    <w:p w14:paraId="0C00F841" w14:textId="77777777" w:rsidR="0082411D" w:rsidRPr="0082411D" w:rsidRDefault="0082411D" w:rsidP="00091E1A">
      <w:pPr>
        <w:jc w:val="both"/>
        <w:rPr>
          <w:lang w:val="de-DE"/>
        </w:rPr>
      </w:pPr>
      <w:r w:rsidRPr="0082411D">
        <w:rPr>
          <w:b/>
          <w:lang w:val="de-DE"/>
        </w:rPr>
        <w:tab/>
      </w:r>
      <w:r w:rsidRPr="0082411D">
        <w:rPr>
          <w:b/>
          <w:bCs/>
          <w:lang w:val="de-DE"/>
        </w:rPr>
        <w:t>Art. 8 -</w:t>
      </w:r>
      <w:r w:rsidRPr="0082411D">
        <w:rPr>
          <w:lang w:val="de-DE"/>
        </w:rPr>
        <w:t xml:space="preserve"> Artikel 27 § 1 desselben Erlasses wird wie folgt ersetzt:</w:t>
      </w:r>
    </w:p>
    <w:p w14:paraId="1C407FBA" w14:textId="77777777" w:rsidR="0082411D" w:rsidRPr="0082411D" w:rsidRDefault="0082411D" w:rsidP="00091E1A">
      <w:pPr>
        <w:jc w:val="both"/>
        <w:rPr>
          <w:lang w:val="de-DE"/>
        </w:rPr>
      </w:pPr>
    </w:p>
    <w:p w14:paraId="7170B931" w14:textId="77777777" w:rsidR="0082411D" w:rsidRPr="0082411D" w:rsidRDefault="0082411D" w:rsidP="00091E1A">
      <w:pPr>
        <w:jc w:val="both"/>
        <w:rPr>
          <w:lang w:val="de-DE"/>
        </w:rPr>
      </w:pPr>
      <w:r w:rsidRPr="0082411D">
        <w:rPr>
          <w:lang w:val="de-DE"/>
        </w:rPr>
        <w:tab/>
        <w:t>"§ 1 - Wenn der Minister die Dienste einer bereits von einer zuständigen Behörde eines anderen Vertragsstaates der RID zugelassenen Prüfstelle in Anspruch nehmen möchte, um in seinem Namen eine oder mehrere Tätigkeiten im Zusammenhang mit den Konformitätsbewertungen und Prüfungen gemäß den Kapiteln 6.2 und 6.8 RID durchzuführen, kann er diese Prüfstelle anerkennen, damit sie eine oder mehrere der vorerwähnten Tätigkeiten auf belgischem Staatsgebiet durchführt."</w:t>
      </w:r>
    </w:p>
    <w:p w14:paraId="0C7D769A" w14:textId="77777777" w:rsidR="0082411D" w:rsidRPr="0082411D" w:rsidRDefault="0082411D" w:rsidP="00091E1A">
      <w:pPr>
        <w:jc w:val="both"/>
        <w:rPr>
          <w:lang w:val="de-DE"/>
        </w:rPr>
      </w:pPr>
    </w:p>
    <w:p w14:paraId="443BB7B4" w14:textId="77777777" w:rsidR="0082411D" w:rsidRPr="0082411D" w:rsidRDefault="0082411D" w:rsidP="00091E1A">
      <w:pPr>
        <w:jc w:val="both"/>
        <w:rPr>
          <w:lang w:val="de-DE"/>
        </w:rPr>
      </w:pPr>
    </w:p>
    <w:p w14:paraId="4203525A" w14:textId="77777777" w:rsidR="0082411D" w:rsidRPr="0082411D" w:rsidRDefault="0082411D" w:rsidP="00091E1A">
      <w:pPr>
        <w:jc w:val="both"/>
        <w:rPr>
          <w:lang w:val="de-DE"/>
        </w:rPr>
      </w:pPr>
      <w:r w:rsidRPr="0082411D">
        <w:rPr>
          <w:b/>
          <w:lang w:val="de-DE"/>
        </w:rPr>
        <w:tab/>
      </w:r>
      <w:r w:rsidRPr="0082411D">
        <w:rPr>
          <w:b/>
          <w:bCs/>
          <w:lang w:val="de-DE"/>
        </w:rPr>
        <w:t>Art. 9 -</w:t>
      </w:r>
      <w:r w:rsidRPr="0082411D">
        <w:rPr>
          <w:lang w:val="de-DE"/>
        </w:rPr>
        <w:t xml:space="preserve"> In demselben Erlass werden die Wörter "Gasgefäß" und "Gasgefäßen" jeweils durch die Wörter "Druckgefäß" beziehungsweise "Druckgefäßen" ersetzt.</w:t>
      </w:r>
    </w:p>
    <w:p w14:paraId="147B17FF" w14:textId="77777777" w:rsidR="0082411D" w:rsidRPr="0082411D" w:rsidRDefault="0082411D" w:rsidP="00091E1A">
      <w:pPr>
        <w:jc w:val="both"/>
        <w:rPr>
          <w:lang w:val="de-DE"/>
        </w:rPr>
      </w:pPr>
    </w:p>
    <w:p w14:paraId="5154482F" w14:textId="77777777" w:rsidR="0082411D" w:rsidRPr="0082411D" w:rsidRDefault="0082411D" w:rsidP="00091E1A">
      <w:pPr>
        <w:jc w:val="both"/>
        <w:rPr>
          <w:lang w:val="de-DE"/>
        </w:rPr>
      </w:pPr>
    </w:p>
    <w:p w14:paraId="296215E8" w14:textId="77777777" w:rsidR="0082411D" w:rsidRPr="0082411D" w:rsidRDefault="0082411D" w:rsidP="00091E1A">
      <w:pPr>
        <w:jc w:val="both"/>
        <w:rPr>
          <w:lang w:val="de-DE"/>
        </w:rPr>
      </w:pPr>
      <w:r w:rsidRPr="0082411D">
        <w:rPr>
          <w:b/>
          <w:lang w:val="de-DE"/>
        </w:rPr>
        <w:tab/>
      </w:r>
      <w:r w:rsidRPr="0082411D">
        <w:rPr>
          <w:b/>
          <w:bCs/>
          <w:lang w:val="de-DE"/>
        </w:rPr>
        <w:t>Art. 10 -</w:t>
      </w:r>
      <w:r w:rsidRPr="0082411D">
        <w:rPr>
          <w:lang w:val="de-DE"/>
        </w:rPr>
        <w:t xml:space="preserve"> Die Anlagen 1 und 4 zu demselben Erlass werden durch die Anlagen 1 und 2 zu vorliegendem Erlass ersetzt.</w:t>
      </w:r>
    </w:p>
    <w:p w14:paraId="32EF2F29" w14:textId="77777777" w:rsidR="0082411D" w:rsidRPr="0082411D" w:rsidRDefault="0082411D" w:rsidP="00091E1A">
      <w:pPr>
        <w:jc w:val="both"/>
        <w:rPr>
          <w:lang w:val="de-DE"/>
        </w:rPr>
      </w:pPr>
    </w:p>
    <w:p w14:paraId="1CF1157C" w14:textId="77777777" w:rsidR="0082411D" w:rsidRPr="0082411D" w:rsidRDefault="0082411D" w:rsidP="00091E1A">
      <w:pPr>
        <w:jc w:val="both"/>
        <w:rPr>
          <w:lang w:val="de-DE"/>
        </w:rPr>
      </w:pPr>
    </w:p>
    <w:p w14:paraId="67D1E480" w14:textId="77777777" w:rsidR="0082411D" w:rsidRPr="0082411D" w:rsidRDefault="0082411D" w:rsidP="00091E1A">
      <w:pPr>
        <w:jc w:val="both"/>
        <w:rPr>
          <w:lang w:val="de-DE"/>
        </w:rPr>
      </w:pPr>
      <w:r w:rsidRPr="0082411D">
        <w:rPr>
          <w:b/>
          <w:lang w:val="de-DE"/>
        </w:rPr>
        <w:tab/>
      </w:r>
      <w:r w:rsidRPr="0082411D">
        <w:rPr>
          <w:b/>
          <w:bCs/>
          <w:lang w:val="de-DE"/>
        </w:rPr>
        <w:t>Art. 11 -</w:t>
      </w:r>
      <w:r w:rsidRPr="0082411D">
        <w:rPr>
          <w:lang w:val="de-DE"/>
        </w:rPr>
        <w:t xml:space="preserve"> Punkt 3 der Anlage 3 zu demselben Erlass wird wie folgt abgeändert:</w:t>
      </w:r>
    </w:p>
    <w:p w14:paraId="7A37F403" w14:textId="77777777" w:rsidR="0082411D" w:rsidRPr="0082411D" w:rsidRDefault="0082411D" w:rsidP="00091E1A">
      <w:pPr>
        <w:jc w:val="both"/>
        <w:rPr>
          <w:lang w:val="de-DE"/>
        </w:rPr>
      </w:pPr>
    </w:p>
    <w:p w14:paraId="4F991E69" w14:textId="77777777" w:rsidR="0082411D" w:rsidRPr="0082411D" w:rsidRDefault="0082411D" w:rsidP="00091E1A">
      <w:pPr>
        <w:jc w:val="both"/>
        <w:rPr>
          <w:lang w:val="de-DE"/>
        </w:rPr>
      </w:pPr>
      <w:r w:rsidRPr="0082411D">
        <w:rPr>
          <w:lang w:val="de-DE"/>
        </w:rPr>
        <w:tab/>
        <w:t>1. Der Satz "Für den Bau der in den Kapiteln 6.7, 6.8, 6.9 (anwendbar bis zum 31. Dezember 2022), 6.9 (anwendbar ab dem 1. Januar 2023) und 6.10 RID erwähnten Tanks auf der Grundlage belgischer Baumusterzulassungsbescheinigungen, gelten die nachstehenden Modalitäten." wird durch den Satz "3.1 Für den Bau der in den Kapiteln 6.7, 6.9 (anwendbar bis zum 31. Dezember 2022), 6.9 (anwendbar ab dem 1. Januar 2023) und 6.10 RID erwähnten Tanks auf der Grundlage belgischer Baumusterzulassungsbescheinigungen gelten die nachstehenden Modalitäten." ersetzt.</w:t>
      </w:r>
    </w:p>
    <w:p w14:paraId="40307DC8" w14:textId="77777777" w:rsidR="0082411D" w:rsidRPr="0082411D" w:rsidRDefault="0082411D" w:rsidP="00091E1A">
      <w:pPr>
        <w:jc w:val="both"/>
        <w:rPr>
          <w:lang w:val="de-DE"/>
        </w:rPr>
      </w:pPr>
    </w:p>
    <w:p w14:paraId="1F56411E" w14:textId="77777777" w:rsidR="0082411D" w:rsidRPr="0082411D" w:rsidRDefault="0082411D" w:rsidP="00091E1A">
      <w:pPr>
        <w:jc w:val="both"/>
        <w:rPr>
          <w:lang w:val="de-DE"/>
        </w:rPr>
      </w:pPr>
      <w:r w:rsidRPr="0082411D">
        <w:rPr>
          <w:lang w:val="de-DE"/>
        </w:rPr>
        <w:tab/>
        <w:t>2. Der Satz "3.1 Für den Bau gemäß einer von einer zugelassenen Prüfstelle erteilten Baumusterzulassung beantragt der Hersteller bei dieser Prüfstelle eine Genehmigung, bevor er mit dem Bau des Tanks beginnt." wird durch den Satz "Für den Bau gemäß einer von einer zugelassenen Prüfstelle erteilten Baumusterzulassung beantragt der Hersteller bei dieser Prüfstelle eine Genehmigung, bevor er mit dem Bau des Tanks beginnt." ersetzt.</w:t>
      </w:r>
    </w:p>
    <w:p w14:paraId="4B0CDF1C" w14:textId="77777777" w:rsidR="0082411D" w:rsidRPr="0082411D" w:rsidRDefault="0082411D" w:rsidP="00091E1A">
      <w:pPr>
        <w:jc w:val="both"/>
        <w:rPr>
          <w:lang w:val="de-DE"/>
        </w:rPr>
      </w:pPr>
    </w:p>
    <w:p w14:paraId="47D80C63" w14:textId="77777777" w:rsidR="0082411D" w:rsidRPr="0082411D" w:rsidRDefault="0082411D" w:rsidP="00091E1A">
      <w:pPr>
        <w:jc w:val="both"/>
        <w:rPr>
          <w:lang w:val="de-DE"/>
        </w:rPr>
      </w:pPr>
      <w:r w:rsidRPr="0082411D">
        <w:rPr>
          <w:lang w:val="de-DE"/>
        </w:rPr>
        <w:tab/>
        <w:t>3. Punkt 3.1.3 wird aufgehoben.</w:t>
      </w:r>
    </w:p>
    <w:p w14:paraId="46601C4A" w14:textId="77777777" w:rsidR="0082411D" w:rsidRPr="0082411D" w:rsidRDefault="0082411D" w:rsidP="00091E1A">
      <w:pPr>
        <w:jc w:val="both"/>
        <w:rPr>
          <w:lang w:val="de-DE"/>
        </w:rPr>
      </w:pPr>
    </w:p>
    <w:p w14:paraId="702A130E" w14:textId="77777777" w:rsidR="0082411D" w:rsidRPr="0082411D" w:rsidRDefault="0082411D" w:rsidP="00091E1A">
      <w:pPr>
        <w:jc w:val="both"/>
        <w:rPr>
          <w:lang w:val="de-DE"/>
        </w:rPr>
      </w:pPr>
      <w:r w:rsidRPr="0082411D">
        <w:rPr>
          <w:lang w:val="de-DE"/>
        </w:rPr>
        <w:tab/>
        <w:t>4. </w:t>
      </w:r>
      <w:r w:rsidRPr="0082411D">
        <w:rPr>
          <w:i/>
          <w:iCs/>
          <w:lang w:val="de-DE"/>
        </w:rPr>
        <w:t>[Abänderung des niederländischen Textes]</w:t>
      </w:r>
    </w:p>
    <w:p w14:paraId="1929E791" w14:textId="77777777" w:rsidR="0082411D" w:rsidRPr="0082411D" w:rsidRDefault="0082411D" w:rsidP="00091E1A">
      <w:pPr>
        <w:jc w:val="both"/>
        <w:rPr>
          <w:lang w:val="de-DE"/>
        </w:rPr>
      </w:pPr>
    </w:p>
    <w:p w14:paraId="77A5534E" w14:textId="77777777" w:rsidR="0082411D" w:rsidRPr="0082411D" w:rsidRDefault="0082411D" w:rsidP="00091E1A">
      <w:pPr>
        <w:jc w:val="both"/>
        <w:rPr>
          <w:lang w:val="de-DE"/>
        </w:rPr>
      </w:pPr>
    </w:p>
    <w:p w14:paraId="1C79C8EE" w14:textId="77777777" w:rsidR="0082411D" w:rsidRPr="0082411D" w:rsidRDefault="0082411D" w:rsidP="00EB188B">
      <w:pPr>
        <w:jc w:val="center"/>
        <w:rPr>
          <w:i/>
          <w:iCs/>
          <w:lang w:val="de-DE"/>
        </w:rPr>
      </w:pPr>
      <w:r w:rsidRPr="0082411D">
        <w:rPr>
          <w:lang w:val="de-DE"/>
        </w:rPr>
        <w:t xml:space="preserve">KAPITEL 3 - </w:t>
      </w:r>
      <w:r w:rsidRPr="0082411D">
        <w:rPr>
          <w:i/>
          <w:lang w:val="de-DE"/>
        </w:rPr>
        <w:t>Ausführungsbestimmung</w:t>
      </w:r>
    </w:p>
    <w:p w14:paraId="071E1407" w14:textId="77777777" w:rsidR="0082411D" w:rsidRPr="0082411D" w:rsidRDefault="0082411D" w:rsidP="00091E1A">
      <w:pPr>
        <w:jc w:val="both"/>
        <w:rPr>
          <w:lang w:val="de-DE"/>
        </w:rPr>
      </w:pPr>
    </w:p>
    <w:p w14:paraId="27F3018C" w14:textId="77777777" w:rsidR="0082411D" w:rsidRPr="0082411D" w:rsidRDefault="0082411D" w:rsidP="00091E1A">
      <w:pPr>
        <w:jc w:val="both"/>
        <w:rPr>
          <w:lang w:val="de-DE"/>
        </w:rPr>
      </w:pPr>
    </w:p>
    <w:p w14:paraId="308F29C2" w14:textId="77777777" w:rsidR="0082411D" w:rsidRPr="0082411D" w:rsidRDefault="0082411D" w:rsidP="00091E1A">
      <w:pPr>
        <w:jc w:val="both"/>
        <w:rPr>
          <w:lang w:val="de-DE"/>
        </w:rPr>
      </w:pPr>
      <w:r w:rsidRPr="0082411D">
        <w:rPr>
          <w:b/>
          <w:lang w:val="de-DE"/>
        </w:rPr>
        <w:tab/>
      </w:r>
      <w:r w:rsidRPr="0082411D">
        <w:rPr>
          <w:b/>
          <w:bCs/>
          <w:lang w:val="de-DE"/>
        </w:rPr>
        <w:t>Art. 12 -</w:t>
      </w:r>
      <w:r w:rsidRPr="0082411D">
        <w:rPr>
          <w:lang w:val="de-DE"/>
        </w:rPr>
        <w:t xml:space="preserve"> Die für Wirtschaft beziehungsweise Mobilität zuständigen Minister sind, jeweils für ihren Bereich, mit der Ausführung des vorliegenden Erlasses beauftragt.</w:t>
      </w:r>
    </w:p>
    <w:p w14:paraId="7F41BF67" w14:textId="77777777" w:rsidR="0082411D" w:rsidRPr="0082411D" w:rsidRDefault="0082411D" w:rsidP="00091E1A">
      <w:pPr>
        <w:jc w:val="both"/>
        <w:rPr>
          <w:lang w:val="de-DE"/>
        </w:rPr>
      </w:pPr>
    </w:p>
    <w:p w14:paraId="1858E102" w14:textId="77777777" w:rsidR="0082411D" w:rsidRPr="0082411D" w:rsidRDefault="0082411D" w:rsidP="00D83889">
      <w:pPr>
        <w:jc w:val="both"/>
        <w:rPr>
          <w:lang w:val="de-DE"/>
        </w:rPr>
      </w:pPr>
    </w:p>
    <w:p w14:paraId="24BCD6AE" w14:textId="77777777" w:rsidR="0082411D" w:rsidRPr="0082411D" w:rsidRDefault="0082411D" w:rsidP="00D83889">
      <w:pPr>
        <w:jc w:val="both"/>
        <w:rPr>
          <w:lang w:val="de-DE"/>
        </w:rPr>
      </w:pPr>
      <w:r w:rsidRPr="0082411D">
        <w:rPr>
          <w:lang w:val="de-DE"/>
        </w:rPr>
        <w:tab/>
        <w:t>Gegeben zu Brüssel, den 16. Oktober 2025</w:t>
      </w:r>
    </w:p>
    <w:p w14:paraId="7B849997" w14:textId="77777777" w:rsidR="0082411D" w:rsidRPr="0082411D" w:rsidRDefault="0082411D" w:rsidP="00D83889">
      <w:pPr>
        <w:jc w:val="both"/>
        <w:rPr>
          <w:lang w:val="de-DE"/>
        </w:rPr>
      </w:pPr>
    </w:p>
    <w:p w14:paraId="29052187" w14:textId="77777777" w:rsidR="0082411D" w:rsidRPr="0082411D" w:rsidRDefault="0082411D" w:rsidP="00D83889">
      <w:pPr>
        <w:jc w:val="both"/>
        <w:rPr>
          <w:lang w:val="de-DE"/>
        </w:rPr>
      </w:pPr>
    </w:p>
    <w:p w14:paraId="44E412A2" w14:textId="77777777" w:rsidR="0082411D" w:rsidRPr="0082411D" w:rsidRDefault="0082411D" w:rsidP="00D83889">
      <w:pPr>
        <w:jc w:val="center"/>
        <w:rPr>
          <w:lang w:val="de-DE"/>
        </w:rPr>
      </w:pPr>
      <w:r w:rsidRPr="0082411D">
        <w:rPr>
          <w:lang w:val="de-DE"/>
        </w:rPr>
        <w:t>PHILIPPE</w:t>
      </w:r>
    </w:p>
    <w:p w14:paraId="7CAB9B7A" w14:textId="77777777" w:rsidR="0082411D" w:rsidRPr="0082411D" w:rsidRDefault="0082411D" w:rsidP="00D83889">
      <w:pPr>
        <w:jc w:val="center"/>
        <w:rPr>
          <w:lang w:val="de-DE"/>
        </w:rPr>
      </w:pPr>
    </w:p>
    <w:p w14:paraId="5E789439" w14:textId="77777777" w:rsidR="0082411D" w:rsidRPr="0082411D" w:rsidRDefault="0082411D" w:rsidP="00D83889">
      <w:pPr>
        <w:jc w:val="center"/>
        <w:rPr>
          <w:lang w:val="de-DE"/>
        </w:rPr>
      </w:pPr>
      <w:r w:rsidRPr="0082411D">
        <w:rPr>
          <w:lang w:val="de-DE"/>
        </w:rPr>
        <w:t>Von Königs wegen:</w:t>
      </w:r>
    </w:p>
    <w:p w14:paraId="52DB471E" w14:textId="77777777" w:rsidR="0082411D" w:rsidRPr="0082411D" w:rsidRDefault="0082411D" w:rsidP="00D83889">
      <w:pPr>
        <w:jc w:val="center"/>
        <w:rPr>
          <w:lang w:val="de-DE"/>
        </w:rPr>
      </w:pPr>
    </w:p>
    <w:p w14:paraId="41441FC4" w14:textId="77777777" w:rsidR="0082411D" w:rsidRPr="0082411D" w:rsidRDefault="0082411D" w:rsidP="00D83889">
      <w:pPr>
        <w:jc w:val="center"/>
        <w:rPr>
          <w:lang w:val="de-DE"/>
        </w:rPr>
      </w:pPr>
      <w:r w:rsidRPr="0082411D">
        <w:rPr>
          <w:lang w:val="de-DE"/>
        </w:rPr>
        <w:t>Der Minister der Wirtschaft</w:t>
      </w:r>
    </w:p>
    <w:p w14:paraId="6D83822F" w14:textId="77777777" w:rsidR="0082411D" w:rsidRPr="0082411D" w:rsidRDefault="0082411D" w:rsidP="00D83889">
      <w:pPr>
        <w:jc w:val="center"/>
        <w:rPr>
          <w:lang w:val="de-DE"/>
        </w:rPr>
      </w:pPr>
      <w:r w:rsidRPr="0082411D">
        <w:rPr>
          <w:lang w:val="de-DE"/>
        </w:rPr>
        <w:t>D. CLARINVAL</w:t>
      </w:r>
    </w:p>
    <w:p w14:paraId="69263910" w14:textId="77777777" w:rsidR="0082411D" w:rsidRPr="0082411D" w:rsidRDefault="0082411D" w:rsidP="00D83889">
      <w:pPr>
        <w:jc w:val="center"/>
        <w:rPr>
          <w:lang w:val="de-DE"/>
        </w:rPr>
      </w:pPr>
    </w:p>
    <w:p w14:paraId="7A67FB8B" w14:textId="77777777" w:rsidR="0082411D" w:rsidRPr="0082411D" w:rsidRDefault="0082411D" w:rsidP="00D83889">
      <w:pPr>
        <w:jc w:val="center"/>
        <w:rPr>
          <w:lang w:val="de-DE"/>
        </w:rPr>
      </w:pPr>
      <w:r w:rsidRPr="0082411D">
        <w:rPr>
          <w:lang w:val="de-DE"/>
        </w:rPr>
        <w:t>Der Minister der Mobilität</w:t>
      </w:r>
    </w:p>
    <w:p w14:paraId="0229F072" w14:textId="77777777" w:rsidR="0082411D" w:rsidRPr="0082411D" w:rsidRDefault="0082411D" w:rsidP="00D83889">
      <w:pPr>
        <w:jc w:val="center"/>
        <w:rPr>
          <w:lang w:val="de-DE"/>
        </w:rPr>
      </w:pPr>
      <w:r w:rsidRPr="0082411D">
        <w:rPr>
          <w:lang w:val="de-DE"/>
        </w:rPr>
        <w:t>J.-L. CRUCKE</w:t>
      </w:r>
    </w:p>
    <w:p w14:paraId="1DF9FD17" w14:textId="77777777" w:rsidR="0082411D" w:rsidRPr="0082411D" w:rsidRDefault="0082411D" w:rsidP="00D83889">
      <w:pPr>
        <w:jc w:val="center"/>
        <w:rPr>
          <w:lang w:val="de-DE"/>
        </w:rPr>
      </w:pPr>
    </w:p>
    <w:p w14:paraId="1A6F0D43" w14:textId="77777777" w:rsidR="0082411D" w:rsidRPr="0082411D" w:rsidRDefault="0082411D" w:rsidP="005441F8">
      <w:pPr>
        <w:jc w:val="center"/>
        <w:rPr>
          <w:sz w:val="20"/>
          <w:lang w:val="de-DE"/>
        </w:rPr>
      </w:pPr>
      <w:r w:rsidRPr="0082411D">
        <w:rPr>
          <w:sz w:val="20"/>
          <w:lang w:val="de-DE"/>
        </w:rPr>
        <w:t>______</w:t>
      </w:r>
    </w:p>
    <w:p w14:paraId="315C8CC5" w14:textId="77777777" w:rsidR="0082411D" w:rsidRPr="0082411D" w:rsidRDefault="0082411D" w:rsidP="00D83889">
      <w:pPr>
        <w:jc w:val="center"/>
        <w:rPr>
          <w:lang w:val="de-DE"/>
        </w:rPr>
      </w:pPr>
    </w:p>
    <w:p w14:paraId="46913BB4" w14:textId="77777777" w:rsidR="0082411D" w:rsidRPr="0082411D" w:rsidRDefault="0082411D">
      <w:pPr>
        <w:rPr>
          <w:lang w:val="de-DE"/>
        </w:rPr>
      </w:pPr>
      <w:r w:rsidRPr="0082411D">
        <w:rPr>
          <w:lang w:val="de-DE"/>
        </w:rPr>
        <w:br w:type="page"/>
      </w:r>
    </w:p>
    <w:p w14:paraId="4CAC55EF" w14:textId="0F891899" w:rsidR="0082411D" w:rsidRPr="0082411D" w:rsidRDefault="0082411D" w:rsidP="0082411D">
      <w:pPr>
        <w:jc w:val="center"/>
        <w:rPr>
          <w:lang w:val="de-DE"/>
        </w:rPr>
      </w:pPr>
      <w:r w:rsidRPr="0082411D">
        <w:rPr>
          <w:lang w:val="de-DE"/>
        </w:rPr>
        <w:lastRenderedPageBreak/>
        <w:t>Anlage 1</w:t>
      </w:r>
    </w:p>
    <w:p w14:paraId="0A69A119" w14:textId="77777777" w:rsidR="0082411D" w:rsidRPr="0082411D" w:rsidRDefault="0082411D" w:rsidP="00D83889">
      <w:pPr>
        <w:jc w:val="both"/>
        <w:rPr>
          <w:lang w:val="de-DE"/>
        </w:rPr>
      </w:pPr>
    </w:p>
    <w:p w14:paraId="1155E572" w14:textId="77777777" w:rsidR="0082411D" w:rsidRPr="0082411D" w:rsidRDefault="0082411D" w:rsidP="0082411D">
      <w:pPr>
        <w:jc w:val="center"/>
        <w:rPr>
          <w:lang w:val="de-DE"/>
        </w:rPr>
      </w:pPr>
      <w:r w:rsidRPr="0082411D">
        <w:rPr>
          <w:lang w:val="de-DE"/>
        </w:rPr>
        <w:t>Anlage 1 zum Königlichen Erlass vom 24. Januar 2024 über die Eisenbahnbeförderung gefährlicher Güter, mit Ausnahme von explosionsfähigen und radioaktiven Stoffen</w:t>
      </w:r>
    </w:p>
    <w:p w14:paraId="27500415" w14:textId="77777777" w:rsidR="0082411D" w:rsidRPr="0082411D" w:rsidRDefault="0082411D" w:rsidP="00D83889">
      <w:pPr>
        <w:jc w:val="both"/>
        <w:rPr>
          <w:lang w:val="de-DE"/>
        </w:rPr>
      </w:pPr>
    </w:p>
    <w:p w14:paraId="43B95FE9" w14:textId="77777777" w:rsidR="0082411D" w:rsidRPr="0082411D" w:rsidRDefault="0082411D" w:rsidP="00D83889">
      <w:pPr>
        <w:jc w:val="both"/>
        <w:rPr>
          <w:lang w:val="de-DE"/>
        </w:rPr>
      </w:pPr>
      <w:r w:rsidRPr="0082411D">
        <w:rPr>
          <w:lang w:val="de-DE"/>
        </w:rPr>
        <w:tab/>
        <w:t>Anlage 1 - Zuständige Behörden</w:t>
      </w:r>
    </w:p>
    <w:p w14:paraId="39A15605" w14:textId="77777777" w:rsidR="0082411D" w:rsidRPr="0082411D" w:rsidRDefault="0082411D" w:rsidP="00D83889">
      <w:pPr>
        <w:jc w:val="both"/>
        <w:rPr>
          <w:lang w:val="de-DE"/>
        </w:rPr>
      </w:pPr>
    </w:p>
    <w:p w14:paraId="7D6DD8A0" w14:textId="77777777" w:rsidR="0082411D" w:rsidRPr="0082411D" w:rsidRDefault="0082411D" w:rsidP="00D83889">
      <w:pPr>
        <w:jc w:val="both"/>
        <w:rPr>
          <w:b/>
          <w:bCs/>
          <w:lang w:val="de-DE"/>
        </w:rPr>
      </w:pPr>
      <w:r w:rsidRPr="0082411D">
        <w:rPr>
          <w:lang w:val="de-DE"/>
        </w:rPr>
        <w:tab/>
      </w:r>
      <w:r w:rsidRPr="0082411D">
        <w:rPr>
          <w:b/>
          <w:lang w:val="de-DE"/>
        </w:rPr>
        <w:t>1. Begriffsbestimmungen</w:t>
      </w:r>
    </w:p>
    <w:p w14:paraId="7A1C7805" w14:textId="77777777" w:rsidR="0082411D" w:rsidRPr="0082411D" w:rsidRDefault="0082411D" w:rsidP="00D83889">
      <w:pPr>
        <w:jc w:val="both"/>
        <w:rPr>
          <w:lang w:val="de-DE"/>
        </w:rPr>
      </w:pPr>
    </w:p>
    <w:p w14:paraId="3135486F" w14:textId="77777777" w:rsidR="0082411D" w:rsidRPr="0082411D" w:rsidRDefault="0082411D" w:rsidP="00D83889">
      <w:pPr>
        <w:jc w:val="both"/>
        <w:rPr>
          <w:lang w:val="de-DE"/>
        </w:rPr>
      </w:pPr>
      <w:r w:rsidRPr="0082411D">
        <w:rPr>
          <w:lang w:val="de-DE"/>
        </w:rPr>
        <w:tab/>
        <w:t>In vorliegender Anlage gelten folgende Begriffsbestimmungen:</w:t>
      </w:r>
    </w:p>
    <w:p w14:paraId="6428A476" w14:textId="77777777" w:rsidR="0082411D" w:rsidRPr="0082411D" w:rsidRDefault="0082411D" w:rsidP="00D83889">
      <w:pPr>
        <w:jc w:val="center"/>
        <w:rPr>
          <w:lang w:val="de-DE"/>
        </w:rPr>
      </w:pPr>
    </w:p>
    <w:tbl>
      <w:tblPr>
        <w:tblStyle w:val="Grilledutableau"/>
        <w:tblW w:w="9924" w:type="dxa"/>
        <w:tblInd w:w="-431" w:type="dxa"/>
        <w:tblLook w:val="04A0" w:firstRow="1" w:lastRow="0" w:firstColumn="1" w:lastColumn="0" w:noHBand="0" w:noVBand="1"/>
      </w:tblPr>
      <w:tblGrid>
        <w:gridCol w:w="3545"/>
        <w:gridCol w:w="6379"/>
      </w:tblGrid>
      <w:tr w:rsidR="0082411D" w:rsidRPr="0082411D" w14:paraId="5F08813B" w14:textId="77777777" w:rsidTr="00E357F8">
        <w:tc>
          <w:tcPr>
            <w:tcW w:w="3545" w:type="dxa"/>
            <w:hideMark/>
          </w:tcPr>
          <w:p w14:paraId="063A306B" w14:textId="77777777" w:rsidR="0082411D" w:rsidRPr="0082411D" w:rsidRDefault="0082411D" w:rsidP="00A12586">
            <w:pPr>
              <w:spacing w:before="40"/>
              <w:rPr>
                <w:rFonts w:ascii="Times New Roman" w:hAnsi="Times New Roman" w:cs="Times New Roman"/>
                <w:sz w:val="22"/>
                <w:szCs w:val="22"/>
                <w:lang w:val="de-DE"/>
              </w:rPr>
            </w:pPr>
            <w:r w:rsidRPr="0082411D">
              <w:rPr>
                <w:rFonts w:ascii="Times New Roman" w:hAnsi="Times New Roman"/>
                <w:sz w:val="22"/>
                <w:lang w:val="de-DE"/>
              </w:rPr>
              <w:t xml:space="preserve">"GD Eisenbahnverkehr": </w:t>
            </w:r>
          </w:p>
        </w:tc>
        <w:tc>
          <w:tcPr>
            <w:tcW w:w="6379" w:type="dxa"/>
            <w:hideMark/>
          </w:tcPr>
          <w:p w14:paraId="01601B6B" w14:textId="77777777" w:rsidR="0082411D" w:rsidRPr="0082411D" w:rsidRDefault="0082411D" w:rsidP="00A1258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für den Eisenbahnverkehr zuständige Generaldirektion des Föderalen Öffentlichen Dienstes Mobilität und Transportwesen, </w:t>
            </w:r>
          </w:p>
        </w:tc>
      </w:tr>
      <w:tr w:rsidR="0082411D" w:rsidRPr="0082411D" w14:paraId="2909FD2E" w14:textId="77777777" w:rsidTr="00E357F8">
        <w:tc>
          <w:tcPr>
            <w:tcW w:w="3545" w:type="dxa"/>
            <w:hideMark/>
          </w:tcPr>
          <w:p w14:paraId="64529876" w14:textId="77777777" w:rsidR="0082411D" w:rsidRPr="0082411D" w:rsidRDefault="0082411D" w:rsidP="00A12586">
            <w:pPr>
              <w:spacing w:before="40" w:after="40"/>
              <w:rPr>
                <w:rFonts w:ascii="Times New Roman" w:hAnsi="Times New Roman" w:cs="Times New Roman"/>
                <w:sz w:val="22"/>
                <w:szCs w:val="22"/>
                <w:lang w:val="de-DE"/>
              </w:rPr>
            </w:pPr>
            <w:r w:rsidRPr="0082411D">
              <w:rPr>
                <w:rFonts w:ascii="Times New Roman" w:hAnsi="Times New Roman"/>
                <w:sz w:val="22"/>
                <w:lang w:val="de-DE"/>
              </w:rPr>
              <w:t xml:space="preserve">"Prüfstellen": </w:t>
            </w:r>
          </w:p>
        </w:tc>
        <w:tc>
          <w:tcPr>
            <w:tcW w:w="6379" w:type="dxa"/>
            <w:hideMark/>
          </w:tcPr>
          <w:p w14:paraId="4FAFDEFA" w14:textId="77777777" w:rsidR="0082411D" w:rsidRPr="0082411D" w:rsidRDefault="0082411D" w:rsidP="00A1258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zugelassene oder anerkannte Prüfstellen, je nach Fall, </w:t>
            </w:r>
          </w:p>
        </w:tc>
      </w:tr>
      <w:tr w:rsidR="0082411D" w:rsidRPr="0082411D" w14:paraId="444D568B" w14:textId="77777777" w:rsidTr="00E357F8">
        <w:tc>
          <w:tcPr>
            <w:tcW w:w="3545" w:type="dxa"/>
            <w:hideMark/>
          </w:tcPr>
          <w:p w14:paraId="7F4297D0" w14:textId="77777777" w:rsidR="0082411D" w:rsidRPr="0082411D" w:rsidRDefault="0082411D" w:rsidP="00A12586">
            <w:pPr>
              <w:spacing w:before="40"/>
              <w:rPr>
                <w:rFonts w:ascii="Times New Roman" w:hAnsi="Times New Roman" w:cs="Times New Roman"/>
                <w:sz w:val="22"/>
                <w:szCs w:val="22"/>
                <w:lang w:val="de-DE"/>
              </w:rPr>
            </w:pPr>
            <w:r w:rsidRPr="0082411D">
              <w:rPr>
                <w:rFonts w:ascii="Times New Roman" w:hAnsi="Times New Roman"/>
                <w:sz w:val="22"/>
                <w:lang w:val="de-DE"/>
              </w:rPr>
              <w:t xml:space="preserve">"FÖD Volksgesundheit": </w:t>
            </w:r>
          </w:p>
        </w:tc>
        <w:tc>
          <w:tcPr>
            <w:tcW w:w="6379" w:type="dxa"/>
            <w:hideMark/>
          </w:tcPr>
          <w:p w14:paraId="38C6F90E" w14:textId="77777777" w:rsidR="0082411D" w:rsidRPr="0082411D" w:rsidRDefault="0082411D" w:rsidP="00A1258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Föderaler Öffentlicher Dienst Volksgesundheit, Sicherheit der Nahrungsmittelkette und Umwelt, </w:t>
            </w:r>
          </w:p>
        </w:tc>
      </w:tr>
      <w:tr w:rsidR="0082411D" w:rsidRPr="0082411D" w14:paraId="6C0FBC2F" w14:textId="77777777" w:rsidTr="00E357F8">
        <w:tc>
          <w:tcPr>
            <w:tcW w:w="3545" w:type="dxa"/>
            <w:hideMark/>
          </w:tcPr>
          <w:p w14:paraId="65FDDEC5" w14:textId="77777777" w:rsidR="0082411D" w:rsidRPr="0082411D" w:rsidRDefault="0082411D" w:rsidP="00A12586">
            <w:pPr>
              <w:spacing w:before="40" w:after="40"/>
              <w:rPr>
                <w:rFonts w:ascii="Times New Roman" w:hAnsi="Times New Roman" w:cs="Times New Roman"/>
                <w:sz w:val="22"/>
                <w:szCs w:val="22"/>
                <w:lang w:val="de-DE"/>
              </w:rPr>
            </w:pPr>
            <w:r w:rsidRPr="0082411D">
              <w:rPr>
                <w:rFonts w:ascii="Times New Roman" w:hAnsi="Times New Roman"/>
                <w:sz w:val="22"/>
                <w:lang w:val="de-DE"/>
              </w:rPr>
              <w:t xml:space="preserve">"FAAG": </w:t>
            </w:r>
          </w:p>
        </w:tc>
        <w:tc>
          <w:tcPr>
            <w:tcW w:w="6379" w:type="dxa"/>
            <w:hideMark/>
          </w:tcPr>
          <w:p w14:paraId="57582852" w14:textId="77777777" w:rsidR="0082411D" w:rsidRPr="0082411D" w:rsidRDefault="0082411D" w:rsidP="00A1258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Föderalagentur für Arzneimittel und Gesundheitsprodukte, </w:t>
            </w:r>
          </w:p>
        </w:tc>
      </w:tr>
      <w:tr w:rsidR="0082411D" w:rsidRPr="0082411D" w14:paraId="0B287A6E" w14:textId="77777777" w:rsidTr="00E357F8">
        <w:tc>
          <w:tcPr>
            <w:tcW w:w="3545" w:type="dxa"/>
            <w:hideMark/>
          </w:tcPr>
          <w:p w14:paraId="32B35495" w14:textId="77777777" w:rsidR="0082411D" w:rsidRPr="0082411D" w:rsidRDefault="0082411D" w:rsidP="00A12586">
            <w:pPr>
              <w:spacing w:before="40"/>
              <w:rPr>
                <w:rFonts w:ascii="Times New Roman" w:hAnsi="Times New Roman" w:cs="Times New Roman"/>
                <w:sz w:val="22"/>
                <w:szCs w:val="22"/>
                <w:lang w:val="de-DE"/>
              </w:rPr>
            </w:pPr>
            <w:r w:rsidRPr="0082411D">
              <w:rPr>
                <w:rFonts w:ascii="Times New Roman" w:hAnsi="Times New Roman"/>
                <w:sz w:val="22"/>
                <w:lang w:val="de-DE"/>
              </w:rPr>
              <w:t xml:space="preserve">"Einsatzdienste": </w:t>
            </w:r>
          </w:p>
        </w:tc>
        <w:tc>
          <w:tcPr>
            <w:tcW w:w="6379" w:type="dxa"/>
            <w:hideMark/>
          </w:tcPr>
          <w:p w14:paraId="24C09533" w14:textId="77777777" w:rsidR="0082411D" w:rsidRPr="0082411D" w:rsidRDefault="0082411D" w:rsidP="00A1258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Dienste, die im Rahmen der Disziplinen 1, 3 oder 4 tätig werden, wie erwähnt im Königlichen Erlass vom 22. Mai 2019 über die Noteinsatzplanung und die Bewältigung von Notsituationen auf kommunaler und provinzialer Ebene und über die Rolle der Bürgermeister und der Provinzgouverneure bei Krisenereignissen und in Krisensituationen, die eine Koordinierung oder eine Bewältigung auf nationaler Ebene erfordern, </w:t>
            </w:r>
          </w:p>
        </w:tc>
      </w:tr>
      <w:tr w:rsidR="0082411D" w:rsidRPr="0082411D" w14:paraId="32FD5479" w14:textId="77777777" w:rsidTr="00E357F8">
        <w:tc>
          <w:tcPr>
            <w:tcW w:w="3545" w:type="dxa"/>
            <w:hideMark/>
          </w:tcPr>
          <w:p w14:paraId="2AED8A94" w14:textId="77777777" w:rsidR="0082411D" w:rsidRPr="0082411D" w:rsidRDefault="0082411D" w:rsidP="00A12586">
            <w:pPr>
              <w:spacing w:before="40"/>
              <w:rPr>
                <w:rFonts w:ascii="Times New Roman" w:hAnsi="Times New Roman" w:cs="Times New Roman"/>
                <w:sz w:val="22"/>
                <w:szCs w:val="22"/>
                <w:lang w:val="de-DE"/>
              </w:rPr>
            </w:pPr>
            <w:r w:rsidRPr="0082411D">
              <w:rPr>
                <w:rFonts w:ascii="Times New Roman" w:hAnsi="Times New Roman"/>
                <w:sz w:val="22"/>
                <w:lang w:val="de-DE"/>
              </w:rPr>
              <w:t xml:space="preserve">"Nationale Sicherungsbehörde": </w:t>
            </w:r>
          </w:p>
        </w:tc>
        <w:tc>
          <w:tcPr>
            <w:tcW w:w="6379" w:type="dxa"/>
            <w:hideMark/>
          </w:tcPr>
          <w:p w14:paraId="75EA2794" w14:textId="77777777" w:rsidR="0082411D" w:rsidRPr="0082411D" w:rsidRDefault="0082411D" w:rsidP="00A1258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Nationale Behörde für die Sicherung des Eisenbahnverkehrs, wie erwähnt im Königlichen Erlass vom 26. Januar 2006 zur Schaffung einer Nationalen Behörde für die Sicherung des Eisenbahnverkehrs und zur Festlegung verschiedener Maßnahmen für die Sicherung des intermodalen Verkehrs, </w:t>
            </w:r>
          </w:p>
        </w:tc>
      </w:tr>
      <w:tr w:rsidR="0082411D" w:rsidRPr="0082411D" w14:paraId="5F6D562B" w14:textId="77777777" w:rsidTr="00E357F8">
        <w:tc>
          <w:tcPr>
            <w:tcW w:w="3545" w:type="dxa"/>
            <w:hideMark/>
          </w:tcPr>
          <w:p w14:paraId="3B9E7B9A" w14:textId="77777777" w:rsidR="0082411D" w:rsidRPr="0082411D" w:rsidRDefault="0082411D" w:rsidP="00A12586">
            <w:pPr>
              <w:spacing w:before="40"/>
              <w:rPr>
                <w:rFonts w:ascii="Times New Roman" w:hAnsi="Times New Roman" w:cs="Times New Roman"/>
                <w:sz w:val="22"/>
                <w:szCs w:val="22"/>
                <w:lang w:val="de-DE"/>
              </w:rPr>
            </w:pPr>
            <w:r w:rsidRPr="0082411D">
              <w:rPr>
                <w:rFonts w:ascii="Times New Roman" w:hAnsi="Times New Roman"/>
                <w:sz w:val="22"/>
                <w:lang w:val="de-DE"/>
              </w:rPr>
              <w:t xml:space="preserve">"FÖD Inneres": </w:t>
            </w:r>
          </w:p>
        </w:tc>
        <w:tc>
          <w:tcPr>
            <w:tcW w:w="6379" w:type="dxa"/>
            <w:hideMark/>
          </w:tcPr>
          <w:p w14:paraId="49F88E06" w14:textId="77777777" w:rsidR="0082411D" w:rsidRPr="0082411D" w:rsidRDefault="0082411D" w:rsidP="00A1258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Föderaler Öffentlicher Dienst Inneres.</w:t>
            </w:r>
          </w:p>
        </w:tc>
      </w:tr>
    </w:tbl>
    <w:p w14:paraId="008F8F3C" w14:textId="77777777" w:rsidR="0082411D" w:rsidRPr="0082411D" w:rsidRDefault="0082411D" w:rsidP="00D83889">
      <w:pPr>
        <w:jc w:val="center"/>
        <w:rPr>
          <w:lang w:val="de-DE"/>
        </w:rPr>
      </w:pPr>
    </w:p>
    <w:p w14:paraId="1E769B95" w14:textId="77777777" w:rsidR="0082411D" w:rsidRPr="0082411D" w:rsidRDefault="0082411D" w:rsidP="00D83889">
      <w:pPr>
        <w:jc w:val="both"/>
        <w:rPr>
          <w:b/>
          <w:bCs/>
          <w:lang w:val="de-DE"/>
        </w:rPr>
      </w:pPr>
      <w:r w:rsidRPr="0082411D">
        <w:rPr>
          <w:lang w:val="de-DE"/>
        </w:rPr>
        <w:tab/>
      </w:r>
      <w:r w:rsidRPr="0082411D">
        <w:rPr>
          <w:b/>
          <w:lang w:val="de-DE"/>
        </w:rPr>
        <w:t>2. Zuständige Behörden</w:t>
      </w:r>
    </w:p>
    <w:p w14:paraId="473B721B" w14:textId="77777777" w:rsidR="0082411D" w:rsidRPr="0082411D" w:rsidRDefault="0082411D" w:rsidP="00D83889">
      <w:pPr>
        <w:jc w:val="both"/>
        <w:rPr>
          <w:lang w:val="de-DE"/>
        </w:rPr>
      </w:pPr>
    </w:p>
    <w:p w14:paraId="4E954605" w14:textId="77777777" w:rsidR="0082411D" w:rsidRPr="0082411D" w:rsidRDefault="0082411D" w:rsidP="00D83889">
      <w:pPr>
        <w:jc w:val="both"/>
        <w:rPr>
          <w:lang w:val="de-DE"/>
        </w:rPr>
      </w:pPr>
      <w:r w:rsidRPr="0082411D">
        <w:rPr>
          <w:lang w:val="de-DE"/>
        </w:rPr>
        <w:tab/>
        <w:t>Die in Abschnitt 1.2.1 RID erwähnten zuständigen Behörden werden in nachstehender Tabelle aufgeführt.</w:t>
      </w:r>
    </w:p>
    <w:p w14:paraId="4FAC05A2" w14:textId="77777777" w:rsidR="0082411D" w:rsidRPr="0082411D" w:rsidRDefault="0082411D" w:rsidP="00D83889">
      <w:pPr>
        <w:jc w:val="both"/>
        <w:rPr>
          <w:lang w:val="de-DE"/>
        </w:rPr>
      </w:pPr>
    </w:p>
    <w:tbl>
      <w:tblPr>
        <w:tblStyle w:val="Grilledutableau"/>
        <w:tblW w:w="10065" w:type="dxa"/>
        <w:tblInd w:w="-431" w:type="dxa"/>
        <w:tblLook w:val="04A0" w:firstRow="1" w:lastRow="0" w:firstColumn="1" w:lastColumn="0" w:noHBand="0" w:noVBand="1"/>
      </w:tblPr>
      <w:tblGrid>
        <w:gridCol w:w="3545"/>
        <w:gridCol w:w="6520"/>
      </w:tblGrid>
      <w:tr w:rsidR="0082411D" w:rsidRPr="0082411D" w14:paraId="20F02C69" w14:textId="77777777" w:rsidTr="00E357F8">
        <w:tc>
          <w:tcPr>
            <w:tcW w:w="3545" w:type="dxa"/>
            <w:hideMark/>
          </w:tcPr>
          <w:p w14:paraId="1560ED33" w14:textId="77777777" w:rsidR="0082411D" w:rsidRPr="0082411D" w:rsidRDefault="0082411D" w:rsidP="00A12586">
            <w:pPr>
              <w:spacing w:before="40" w:after="40"/>
              <w:jc w:val="both"/>
              <w:rPr>
                <w:rFonts w:ascii="Times New Roman" w:hAnsi="Times New Roman" w:cs="Times New Roman"/>
                <w:b/>
                <w:bCs/>
                <w:sz w:val="22"/>
                <w:szCs w:val="22"/>
                <w:lang w:val="de-DE"/>
              </w:rPr>
            </w:pPr>
            <w:r w:rsidRPr="0082411D">
              <w:rPr>
                <w:rFonts w:ascii="Times New Roman" w:hAnsi="Times New Roman"/>
                <w:b/>
                <w:sz w:val="22"/>
                <w:lang w:val="de-DE"/>
              </w:rPr>
              <w:t xml:space="preserve">Zuständige Behörden </w:t>
            </w:r>
          </w:p>
        </w:tc>
        <w:tc>
          <w:tcPr>
            <w:tcW w:w="6520" w:type="dxa"/>
            <w:hideMark/>
          </w:tcPr>
          <w:p w14:paraId="42786CBB" w14:textId="77777777" w:rsidR="0082411D" w:rsidRPr="0082411D" w:rsidRDefault="0082411D" w:rsidP="00A12586">
            <w:pPr>
              <w:spacing w:before="40" w:after="40"/>
              <w:jc w:val="both"/>
              <w:rPr>
                <w:rFonts w:ascii="Times New Roman" w:hAnsi="Times New Roman" w:cs="Times New Roman"/>
                <w:b/>
                <w:bCs/>
                <w:sz w:val="22"/>
                <w:szCs w:val="22"/>
                <w:lang w:val="de-DE"/>
              </w:rPr>
            </w:pPr>
            <w:r w:rsidRPr="0082411D">
              <w:rPr>
                <w:rFonts w:ascii="Times New Roman" w:hAnsi="Times New Roman"/>
                <w:b/>
                <w:sz w:val="22"/>
                <w:lang w:val="de-DE"/>
              </w:rPr>
              <w:t xml:space="preserve">Abschnitt, Unterabschnitt oder Absatz der RID </w:t>
            </w:r>
          </w:p>
        </w:tc>
      </w:tr>
      <w:tr w:rsidR="0082411D" w:rsidRPr="0082411D" w14:paraId="4AC26943" w14:textId="77777777" w:rsidTr="00E357F8">
        <w:tc>
          <w:tcPr>
            <w:tcW w:w="3545" w:type="dxa"/>
            <w:hideMark/>
          </w:tcPr>
          <w:p w14:paraId="38E46FE4" w14:textId="77777777" w:rsidR="0082411D" w:rsidRPr="0082411D" w:rsidRDefault="0082411D" w:rsidP="00A12586">
            <w:pPr>
              <w:spacing w:before="40"/>
              <w:jc w:val="both"/>
              <w:rPr>
                <w:rFonts w:ascii="Times New Roman" w:hAnsi="Times New Roman" w:cs="Times New Roman"/>
                <w:sz w:val="22"/>
                <w:szCs w:val="22"/>
                <w:lang w:val="de-DE"/>
              </w:rPr>
            </w:pPr>
            <w:r w:rsidRPr="0082411D">
              <w:rPr>
                <w:rFonts w:ascii="Times New Roman" w:hAnsi="Times New Roman"/>
                <w:sz w:val="22"/>
                <w:lang w:val="de-DE"/>
              </w:rPr>
              <w:t xml:space="preserve">Minister </w:t>
            </w:r>
          </w:p>
        </w:tc>
        <w:tc>
          <w:tcPr>
            <w:tcW w:w="6520" w:type="dxa"/>
            <w:hideMark/>
          </w:tcPr>
          <w:p w14:paraId="2EA55D10" w14:textId="77777777" w:rsidR="0082411D" w:rsidRPr="0082411D" w:rsidRDefault="0082411D" w:rsidP="00E357F8">
            <w:pPr>
              <w:spacing w:before="40"/>
              <w:rPr>
                <w:rFonts w:ascii="Times New Roman" w:hAnsi="Times New Roman" w:cs="Times New Roman"/>
                <w:sz w:val="22"/>
                <w:szCs w:val="22"/>
                <w:lang w:val="de-DE"/>
              </w:rPr>
            </w:pPr>
            <w:r w:rsidRPr="0082411D">
              <w:rPr>
                <w:rFonts w:ascii="Times New Roman" w:hAnsi="Times New Roman"/>
                <w:sz w:val="22"/>
                <w:lang w:val="de-DE"/>
              </w:rPr>
              <w:t>1.2.1 (Bestimmung des Begriffs "Prüfstelle"), 1.8.6 (Bemerkung 1 Gedankenstrich 1 und Bemerkung 2), 1.8.6.1, 1.8.6.2.1, 1.8.6.2.2.2, 1.8.6.2.3.1, 1.8.6.6 (zweiter Satzteil),</w:t>
            </w:r>
          </w:p>
          <w:p w14:paraId="18F0037C" w14:textId="77777777" w:rsidR="0082411D" w:rsidRPr="0082411D" w:rsidRDefault="0082411D" w:rsidP="00E357F8">
            <w:pPr>
              <w:spacing w:before="40"/>
              <w:rPr>
                <w:rFonts w:ascii="Times New Roman" w:hAnsi="Times New Roman" w:cs="Times New Roman"/>
                <w:sz w:val="22"/>
                <w:szCs w:val="22"/>
                <w:lang w:val="de-DE"/>
              </w:rPr>
            </w:pPr>
            <w:r w:rsidRPr="0082411D">
              <w:rPr>
                <w:rFonts w:ascii="Times New Roman" w:hAnsi="Times New Roman"/>
                <w:sz w:val="22"/>
                <w:lang w:val="de-DE"/>
              </w:rPr>
              <w:t>4.1.4.1 (P200 (10) ac),</w:t>
            </w:r>
            <w:r w:rsidRPr="0082411D">
              <w:rPr>
                <w:rFonts w:ascii="Times New Roman" w:hAnsi="Times New Roman"/>
                <w:sz w:val="22"/>
                <w:lang w:val="de-DE"/>
              </w:rPr>
              <w:br/>
              <w:t>6.2.1.6.1 (erster Satz), 6.2.1.7.2, 6.2.2.5.2.4, 6.2.2.6.2.1 (zweiter und vierter Satz), 6.2.2.6.2.2, 6.2.2.6.2.4, 6.2.2.6.4.1 (erster Satz), 6.2.2.6.4.5, 6.2.2.7.7, 6.2.2.9.2 d), 6.2.2.9.4, 6.2.2.12, 6.2.3.6.2, 6.2.3.9.7.3,</w:t>
            </w:r>
            <w:r w:rsidRPr="0082411D">
              <w:rPr>
                <w:rFonts w:ascii="Times New Roman" w:hAnsi="Times New Roman"/>
                <w:sz w:val="22"/>
                <w:lang w:val="de-DE"/>
              </w:rPr>
              <w:br/>
              <w:t>6.7.2.19.9, 6.7.3.15.9, 6.7.4.14.10, 6.7.5.12.7,</w:t>
            </w:r>
            <w:r w:rsidRPr="0082411D">
              <w:rPr>
                <w:rFonts w:ascii="Times New Roman" w:hAnsi="Times New Roman"/>
                <w:sz w:val="22"/>
                <w:lang w:val="de-DE"/>
              </w:rPr>
              <w:br/>
              <w:t>6.8.1.5, 6.8.1.5.1, 6.8.1.5.2, 6.8.1.5.3, 6.8.1.5.4, 6.8.1.5.5 (letzter Unterabsatz), 6.8.1.5.6, 6.8.2.4.5, 6.8.2.4.6,</w:t>
            </w:r>
            <w:r w:rsidRPr="0082411D">
              <w:rPr>
                <w:rFonts w:ascii="Times New Roman" w:hAnsi="Times New Roman"/>
                <w:sz w:val="22"/>
                <w:lang w:val="de-DE"/>
              </w:rPr>
              <w:br/>
              <w:t xml:space="preserve">7.3.3.2.7 (AP11 (4)) </w:t>
            </w:r>
          </w:p>
        </w:tc>
      </w:tr>
      <w:tr w:rsidR="0082411D" w:rsidRPr="0082411D" w14:paraId="54F08D8C" w14:textId="77777777" w:rsidTr="00E357F8">
        <w:tc>
          <w:tcPr>
            <w:tcW w:w="3545" w:type="dxa"/>
            <w:hideMark/>
          </w:tcPr>
          <w:p w14:paraId="1F4D188B" w14:textId="77777777" w:rsidR="0082411D" w:rsidRPr="0082411D" w:rsidRDefault="0082411D" w:rsidP="00A12586">
            <w:pPr>
              <w:spacing w:before="40"/>
              <w:jc w:val="both"/>
              <w:rPr>
                <w:rFonts w:ascii="Times New Roman" w:hAnsi="Times New Roman" w:cs="Times New Roman"/>
                <w:sz w:val="22"/>
                <w:szCs w:val="22"/>
                <w:lang w:val="de-DE"/>
              </w:rPr>
            </w:pPr>
            <w:r w:rsidRPr="0082411D">
              <w:rPr>
                <w:rFonts w:ascii="Times New Roman" w:hAnsi="Times New Roman"/>
                <w:sz w:val="22"/>
                <w:lang w:val="de-DE"/>
              </w:rPr>
              <w:lastRenderedPageBreak/>
              <w:t xml:space="preserve">GD Eisenbahnverkehr </w:t>
            </w:r>
          </w:p>
        </w:tc>
        <w:tc>
          <w:tcPr>
            <w:tcW w:w="6520" w:type="dxa"/>
            <w:hideMark/>
          </w:tcPr>
          <w:p w14:paraId="6BB340DE" w14:textId="77777777" w:rsidR="0082411D" w:rsidRPr="0082411D" w:rsidRDefault="0082411D" w:rsidP="00E357F8">
            <w:pPr>
              <w:spacing w:after="40"/>
              <w:rPr>
                <w:rFonts w:ascii="Times New Roman" w:hAnsi="Times New Roman" w:cs="Times New Roman"/>
                <w:sz w:val="22"/>
                <w:szCs w:val="22"/>
                <w:lang w:val="de-DE"/>
              </w:rPr>
            </w:pPr>
            <w:r w:rsidRPr="0082411D">
              <w:rPr>
                <w:rFonts w:ascii="Times New Roman" w:hAnsi="Times New Roman"/>
                <w:sz w:val="22"/>
                <w:lang w:val="de-DE"/>
              </w:rPr>
              <w:t>1.8.6.2.4.2, 1.8.6.2.4.3 (Teil 2, zweiter Satz), 1.6.2.10, 1.6.2.12, 1.6.2.14, 1.8.6.2.3.2, 1.8.6.3.3.1, 1.8.6.3.3.5, 1.8.4, 1.8.6.3, 1.8.6.4.1, 1.8.6.4.5, 1.8.6.5, 1.8.6.6 (erster Satzteil), 1.8.6.7, 1.8.7.6.4, 1.8.7.7.2, 1.8.7.7.5,</w:t>
            </w:r>
            <w:r w:rsidRPr="0082411D">
              <w:rPr>
                <w:rFonts w:ascii="Times New Roman" w:hAnsi="Times New Roman"/>
                <w:sz w:val="22"/>
                <w:lang w:val="de-DE"/>
              </w:rPr>
              <w:br/>
              <w:t>2.1.2.8, 2.2.2.1.5, 2.2.41.1.13, 2.2.52.1.8, 2.2.9.1.7 e),</w:t>
            </w:r>
            <w:r w:rsidRPr="0082411D">
              <w:rPr>
                <w:rFonts w:ascii="Times New Roman" w:hAnsi="Times New Roman"/>
                <w:sz w:val="22"/>
                <w:lang w:val="de-DE"/>
              </w:rPr>
              <w:br/>
              <w:t>3.3 (Sondervorschriften 181, 237, 283, 376, 379, 674 (d) und h)) und 662),</w:t>
            </w:r>
            <w:r w:rsidRPr="0082411D">
              <w:rPr>
                <w:rFonts w:ascii="Times New Roman" w:hAnsi="Times New Roman"/>
                <w:sz w:val="22"/>
                <w:lang w:val="de-DE"/>
              </w:rPr>
              <w:br/>
              <w:t>4.1.1.15, 4.1.3.6.6, 4.1.3.6.9, 4.1.4.1 (P099, P006 ((5) d)), P910 3), P200 ((10) k, v a) und b), (12) 1.3 und 1.5 (Bemerkung) und (13) 1.3 und 1.6 (Bemerkung)), P201, P405, P902 und P911 2)), 4.1.4.2 (IBC099), 4.1.4.3 (LP099, LP902 und LP906 2)), 4.1.7.2.2,</w:t>
            </w:r>
            <w:r w:rsidRPr="0082411D">
              <w:rPr>
                <w:rFonts w:ascii="Times New Roman" w:hAnsi="Times New Roman"/>
                <w:sz w:val="22"/>
                <w:lang w:val="de-DE"/>
              </w:rPr>
              <w:br/>
              <w:t>4.2.1.13.1, 4.2.1.13.3, 4.2.3.6.4, 4.2.3.7.1, 4.2.5.1.1, 4.2.5.3 (TP10 und TP41),</w:t>
            </w:r>
            <w:r w:rsidRPr="0082411D">
              <w:rPr>
                <w:rFonts w:ascii="Times New Roman" w:hAnsi="Times New Roman"/>
                <w:sz w:val="22"/>
                <w:lang w:val="de-DE"/>
              </w:rPr>
              <w:br/>
              <w:t>4.3.2.3.7,</w:t>
            </w:r>
            <w:r w:rsidRPr="0082411D">
              <w:rPr>
                <w:rFonts w:ascii="Times New Roman" w:hAnsi="Times New Roman"/>
                <w:sz w:val="22"/>
                <w:lang w:val="de-DE"/>
              </w:rPr>
              <w:br/>
              <w:t>5.2.2.1.9, 5.4.1.2.3.3, 6.1.1.2 (dritter Satz), 6.1.5.1.3, 6.1.5.2.5, 6.1.5.8.2,</w:t>
            </w:r>
            <w:r w:rsidRPr="0082411D">
              <w:rPr>
                <w:rFonts w:ascii="Times New Roman" w:hAnsi="Times New Roman"/>
                <w:sz w:val="22"/>
                <w:lang w:val="de-DE"/>
              </w:rPr>
              <w:br/>
              <w:t>6.2.1.1.9, 6.2.1.3.6.5.4, 6.2.1.7.2, 6.2.2.4, 6.2.2.5.2.3, 6.2.2.5.2.6, 6.2.2.6.2.1 (dritter Satz), 6.2.2.6.2.2, 6.2.2.6.2.3, 6.2.2.6.3.2 (erster und dritter Satz), 6.2.2.6.4.1 (zweiter Satz), 6.2.2.6.4.3, 6.2.2.6.4.7, 6.2.2.7.2 d), 6.2.2.7.8, 6.2.2.12, 6.2.3.5.1, 6.2.5, 6.2.5.4.2, 6.2.6.3.2, 6.3.2.1 (dritter Satz), 6.3.5.1.3, 6.3.5.5.2,</w:t>
            </w:r>
          </w:p>
          <w:p w14:paraId="56CC8393" w14:textId="77777777" w:rsidR="0082411D" w:rsidRPr="0082411D" w:rsidRDefault="0082411D" w:rsidP="00E357F8">
            <w:pPr>
              <w:spacing w:after="40"/>
              <w:rPr>
                <w:rFonts w:ascii="Times New Roman" w:hAnsi="Times New Roman" w:cs="Times New Roman"/>
                <w:sz w:val="22"/>
                <w:szCs w:val="22"/>
                <w:lang w:val="de-DE"/>
              </w:rPr>
            </w:pPr>
            <w:r w:rsidRPr="0082411D">
              <w:rPr>
                <w:rFonts w:ascii="Times New Roman" w:hAnsi="Times New Roman"/>
                <w:sz w:val="22"/>
                <w:lang w:val="de-DE"/>
              </w:rPr>
              <w:t>6.5.6.14.2, 6.5.6.3.4,</w:t>
            </w:r>
          </w:p>
          <w:p w14:paraId="7EE09336" w14:textId="77777777" w:rsidR="0082411D" w:rsidRPr="0082411D" w:rsidRDefault="0082411D" w:rsidP="00E357F8">
            <w:pPr>
              <w:spacing w:after="40"/>
              <w:rPr>
                <w:rFonts w:ascii="Times New Roman" w:hAnsi="Times New Roman" w:cs="Times New Roman"/>
                <w:sz w:val="22"/>
                <w:szCs w:val="22"/>
                <w:lang w:val="de-DE"/>
              </w:rPr>
            </w:pPr>
            <w:r w:rsidRPr="0082411D">
              <w:rPr>
                <w:rFonts w:ascii="Times New Roman" w:hAnsi="Times New Roman"/>
                <w:sz w:val="22"/>
                <w:lang w:val="de-DE"/>
              </w:rPr>
              <w:t>6.6.1.3 (dritter Satz), 6.6.5.1.3, 6.6.5.4.3,</w:t>
            </w:r>
          </w:p>
          <w:p w14:paraId="087C85A4" w14:textId="77777777" w:rsidR="0082411D" w:rsidRPr="0082411D" w:rsidRDefault="0082411D" w:rsidP="00E357F8">
            <w:pPr>
              <w:spacing w:after="40"/>
              <w:rPr>
                <w:rFonts w:ascii="Times New Roman" w:hAnsi="Times New Roman" w:cs="Times New Roman"/>
                <w:sz w:val="22"/>
                <w:szCs w:val="22"/>
                <w:lang w:val="de-DE"/>
              </w:rPr>
            </w:pPr>
            <w:r w:rsidRPr="0082411D">
              <w:rPr>
                <w:rFonts w:ascii="Times New Roman" w:hAnsi="Times New Roman"/>
                <w:sz w:val="22"/>
                <w:lang w:val="de-DE"/>
              </w:rPr>
              <w:t>6.7.1.2, 6.7.2.1, 6.7.2.2.1, 6.7.2.2.10, 6.7.2.3.1, 6.7.2.19.4, 6.7.3.1, 6.7.3.2.1, 6.7.4.1, 6.7.4.2.1, 6.7.4.2.8.1, 6.7.4.2.8.2, 6.7.5.1, 6.7.5.2.9, 6.7.5.4.1, 6.7.5.4.3,</w:t>
            </w:r>
          </w:p>
          <w:p w14:paraId="2C1FA458" w14:textId="77777777" w:rsidR="0082411D" w:rsidRPr="0082411D" w:rsidRDefault="0082411D" w:rsidP="00E357F8">
            <w:pPr>
              <w:spacing w:after="40"/>
              <w:rPr>
                <w:rFonts w:ascii="Times New Roman" w:hAnsi="Times New Roman" w:cs="Times New Roman"/>
                <w:sz w:val="22"/>
                <w:szCs w:val="22"/>
                <w:lang w:val="de-DE"/>
              </w:rPr>
            </w:pPr>
            <w:r w:rsidRPr="0082411D">
              <w:rPr>
                <w:rFonts w:ascii="Times New Roman" w:hAnsi="Times New Roman"/>
                <w:sz w:val="22"/>
                <w:lang w:val="de-DE"/>
              </w:rPr>
              <w:t>6.8.1.5.5 (linke und rechte Spalte), 6.8.2.1.4, 6.8.2.1.19, 6.8.2.3.3, 6.8.2.7, 6.8.3.7, 6.8.4 (TA2 und TT7),</w:t>
            </w:r>
            <w:r w:rsidRPr="0082411D">
              <w:rPr>
                <w:rFonts w:ascii="Times New Roman" w:hAnsi="Times New Roman"/>
                <w:sz w:val="22"/>
                <w:lang w:val="de-DE"/>
              </w:rPr>
              <w:br/>
              <w:t>6.9.1.4, 6.9.2.2.1, 6.9.2.2.3.2, 6.9.2.2.3.15, 6.9.2.3.1, 6.9.2.3.4 (K3 und K5), 6.9.2.3.7 (letzter Satz), 6.9.2.7.1.3 c) und d),</w:t>
            </w:r>
            <w:r w:rsidRPr="0082411D">
              <w:rPr>
                <w:rFonts w:ascii="Times New Roman" w:hAnsi="Times New Roman"/>
                <w:sz w:val="22"/>
                <w:lang w:val="de-DE"/>
              </w:rPr>
              <w:br/>
              <w:t>6.11.2.4, 6.11.5.4.2,</w:t>
            </w:r>
            <w:r w:rsidRPr="0082411D">
              <w:rPr>
                <w:rFonts w:ascii="Times New Roman" w:hAnsi="Times New Roman"/>
                <w:sz w:val="22"/>
                <w:lang w:val="de-DE"/>
              </w:rPr>
              <w:br/>
              <w:t xml:space="preserve">7.3.3.1 (VC3) </w:t>
            </w:r>
          </w:p>
        </w:tc>
      </w:tr>
      <w:tr w:rsidR="0082411D" w:rsidRPr="0082411D" w14:paraId="334CDEB3" w14:textId="77777777" w:rsidTr="00E357F8">
        <w:tc>
          <w:tcPr>
            <w:tcW w:w="3545" w:type="dxa"/>
            <w:hideMark/>
          </w:tcPr>
          <w:p w14:paraId="2B731BF0" w14:textId="77777777" w:rsidR="0082411D" w:rsidRPr="0082411D" w:rsidRDefault="0082411D" w:rsidP="00A12586">
            <w:pPr>
              <w:spacing w:before="40"/>
              <w:jc w:val="both"/>
              <w:rPr>
                <w:rFonts w:ascii="Times New Roman" w:hAnsi="Times New Roman" w:cs="Times New Roman"/>
                <w:sz w:val="22"/>
                <w:szCs w:val="22"/>
                <w:lang w:val="de-DE"/>
              </w:rPr>
            </w:pPr>
            <w:r w:rsidRPr="0082411D">
              <w:rPr>
                <w:rFonts w:ascii="Times New Roman" w:hAnsi="Times New Roman"/>
                <w:sz w:val="22"/>
                <w:lang w:val="de-DE"/>
              </w:rPr>
              <w:t xml:space="preserve">Sicherheitsbehörde </w:t>
            </w:r>
          </w:p>
        </w:tc>
        <w:tc>
          <w:tcPr>
            <w:tcW w:w="6520" w:type="dxa"/>
            <w:hideMark/>
          </w:tcPr>
          <w:p w14:paraId="7A038520" w14:textId="77777777" w:rsidR="0082411D" w:rsidRPr="0082411D" w:rsidRDefault="0082411D" w:rsidP="00E357F8">
            <w:pPr>
              <w:spacing w:before="40" w:after="40"/>
              <w:rPr>
                <w:rFonts w:ascii="Times New Roman" w:hAnsi="Times New Roman" w:cs="Times New Roman"/>
                <w:sz w:val="22"/>
                <w:szCs w:val="22"/>
                <w:lang w:val="de-DE"/>
              </w:rPr>
            </w:pPr>
            <w:r w:rsidRPr="0082411D">
              <w:rPr>
                <w:rFonts w:ascii="Times New Roman" w:hAnsi="Times New Roman"/>
                <w:sz w:val="22"/>
                <w:lang w:val="de-DE"/>
              </w:rPr>
              <w:t>1.4.2.2.4, 1.5.1, 1.8.2.2, 1.8.2.3, 1.8.5.2, 1.9.4,</w:t>
            </w:r>
          </w:p>
          <w:p w14:paraId="74170CA4" w14:textId="77777777" w:rsidR="0082411D" w:rsidRPr="0082411D" w:rsidRDefault="0082411D" w:rsidP="00E357F8">
            <w:pPr>
              <w:spacing w:before="40" w:after="40"/>
              <w:rPr>
                <w:rFonts w:ascii="Times New Roman" w:hAnsi="Times New Roman" w:cs="Times New Roman"/>
                <w:sz w:val="22"/>
                <w:szCs w:val="22"/>
                <w:lang w:val="de-DE"/>
              </w:rPr>
            </w:pPr>
            <w:r w:rsidRPr="0082411D">
              <w:rPr>
                <w:rFonts w:ascii="Times New Roman" w:hAnsi="Times New Roman"/>
                <w:sz w:val="22"/>
                <w:lang w:val="de-DE"/>
              </w:rPr>
              <w:t>3.1.2.6, 3.2.1, 3.3 (Sondervorschrift 239),</w:t>
            </w:r>
            <w:r w:rsidRPr="0082411D">
              <w:rPr>
                <w:rFonts w:ascii="Times New Roman" w:hAnsi="Times New Roman"/>
                <w:sz w:val="22"/>
                <w:lang w:val="de-DE"/>
              </w:rPr>
              <w:br/>
              <w:t>4.1.2.2, 4.1.3.8.1, 4.2.3.6.4, 4.2.5.1.1, 4.2.5.3 (TP4), 4.3.2.3.7,</w:t>
            </w:r>
            <w:r w:rsidRPr="0082411D">
              <w:rPr>
                <w:rFonts w:ascii="Times New Roman" w:hAnsi="Times New Roman"/>
                <w:sz w:val="22"/>
                <w:lang w:val="de-DE"/>
              </w:rPr>
              <w:br/>
              <w:t>6.7.1.3, 6.7.2.19.6.1, 6.7.3.15.6.1, 6.7.4.14.6.1, 6.8.2.1.29,</w:t>
            </w:r>
            <w:r w:rsidRPr="0082411D">
              <w:rPr>
                <w:rFonts w:ascii="Times New Roman" w:hAnsi="Times New Roman"/>
                <w:sz w:val="22"/>
                <w:lang w:val="de-DE"/>
              </w:rPr>
              <w:br/>
              <w:t xml:space="preserve">7.3.2.6.2, 7.4, 7.7 </w:t>
            </w:r>
          </w:p>
        </w:tc>
      </w:tr>
      <w:tr w:rsidR="0082411D" w:rsidRPr="0082411D" w14:paraId="7229262A" w14:textId="77777777" w:rsidTr="00E357F8">
        <w:tc>
          <w:tcPr>
            <w:tcW w:w="3545" w:type="dxa"/>
            <w:hideMark/>
          </w:tcPr>
          <w:p w14:paraId="27083AE4" w14:textId="77777777" w:rsidR="0082411D" w:rsidRPr="0082411D" w:rsidRDefault="0082411D" w:rsidP="00052DDE">
            <w:pPr>
              <w:spacing w:before="40" w:after="40"/>
              <w:rPr>
                <w:rFonts w:ascii="Times New Roman" w:hAnsi="Times New Roman" w:cs="Times New Roman"/>
                <w:sz w:val="22"/>
                <w:szCs w:val="22"/>
                <w:lang w:val="de-DE"/>
              </w:rPr>
            </w:pPr>
            <w:r w:rsidRPr="0082411D">
              <w:rPr>
                <w:rFonts w:ascii="Times New Roman" w:hAnsi="Times New Roman"/>
                <w:sz w:val="22"/>
                <w:lang w:val="de-DE"/>
              </w:rPr>
              <w:t xml:space="preserve">GD Eisenbahnverkehr, Sicherheitsbehörde </w:t>
            </w:r>
          </w:p>
        </w:tc>
        <w:tc>
          <w:tcPr>
            <w:tcW w:w="6520" w:type="dxa"/>
            <w:hideMark/>
          </w:tcPr>
          <w:p w14:paraId="01C809B5" w14:textId="77777777" w:rsidR="0082411D" w:rsidRPr="0082411D" w:rsidRDefault="0082411D" w:rsidP="00A1258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3.3 (Sondervorschriften 636 und 670), 4.3.2.1.7 </w:t>
            </w:r>
          </w:p>
        </w:tc>
      </w:tr>
      <w:tr w:rsidR="0082411D" w:rsidRPr="0082411D" w14:paraId="0714B4D4" w14:textId="77777777" w:rsidTr="00E357F8">
        <w:tc>
          <w:tcPr>
            <w:tcW w:w="3545" w:type="dxa"/>
            <w:hideMark/>
          </w:tcPr>
          <w:p w14:paraId="2FAA090E" w14:textId="77777777" w:rsidR="0082411D" w:rsidRPr="0082411D" w:rsidRDefault="0082411D" w:rsidP="00A12586">
            <w:pPr>
              <w:spacing w:before="40"/>
              <w:jc w:val="both"/>
              <w:rPr>
                <w:rFonts w:ascii="Times New Roman" w:hAnsi="Times New Roman" w:cs="Times New Roman"/>
                <w:sz w:val="22"/>
                <w:szCs w:val="22"/>
                <w:lang w:val="de-DE"/>
              </w:rPr>
            </w:pPr>
            <w:r w:rsidRPr="0082411D">
              <w:rPr>
                <w:rFonts w:ascii="Times New Roman" w:hAnsi="Times New Roman"/>
                <w:sz w:val="22"/>
                <w:lang w:val="de-DE"/>
              </w:rPr>
              <w:t xml:space="preserve">Prüfstellen </w:t>
            </w:r>
          </w:p>
        </w:tc>
        <w:tc>
          <w:tcPr>
            <w:tcW w:w="6520" w:type="dxa"/>
            <w:hideMark/>
          </w:tcPr>
          <w:p w14:paraId="292A28F1" w14:textId="77777777" w:rsidR="0082411D" w:rsidRPr="0082411D" w:rsidRDefault="0082411D" w:rsidP="00E357F8">
            <w:pPr>
              <w:spacing w:before="40"/>
              <w:rPr>
                <w:rFonts w:ascii="Times New Roman" w:hAnsi="Times New Roman" w:cs="Times New Roman"/>
                <w:sz w:val="22"/>
                <w:szCs w:val="22"/>
                <w:lang w:val="de-DE"/>
              </w:rPr>
            </w:pPr>
            <w:r w:rsidRPr="0082411D">
              <w:rPr>
                <w:rFonts w:ascii="Times New Roman" w:hAnsi="Times New Roman"/>
                <w:sz w:val="22"/>
                <w:lang w:val="de-DE"/>
              </w:rPr>
              <w:t>1.2.1 (Bestimmung des Begriffs "repariertes IBC"), 1.8.6.2.1, 1.8.6.2.2, 1.8.6.3.2.1, 1.8.6.3.2.2, 1.8.6.3.2.3, 1.8.7.1.2, 1.8.7.1.4, 1.8.7.1.5 b), 1.8.7.1.6, 1.8.7.2.2.1, 1.8.7.2.3, 1.8.7.2.5, 1.8.7.8.2, 1.8.8.1.1, 3.3 (Sondervorschriften 356, 371 (2), 666 und 674 (i) erster Satz)),</w:t>
            </w:r>
            <w:r w:rsidRPr="0082411D">
              <w:rPr>
                <w:rFonts w:ascii="Times New Roman" w:hAnsi="Times New Roman"/>
                <w:sz w:val="22"/>
                <w:lang w:val="de-DE"/>
              </w:rPr>
              <w:br/>
              <w:t>4.1.3.6.2, 4.1.4.1 (P200 ((3) d) (Bemerkung) und (9)), P601 3) g) und P905), 4.1.6.14,</w:t>
            </w:r>
          </w:p>
          <w:p w14:paraId="51716AA2" w14:textId="77777777" w:rsidR="0082411D" w:rsidRPr="0082411D" w:rsidRDefault="0082411D" w:rsidP="00E357F8">
            <w:pPr>
              <w:spacing w:before="40" w:after="40"/>
              <w:rPr>
                <w:rFonts w:ascii="Times New Roman" w:hAnsi="Times New Roman" w:cs="Times New Roman"/>
                <w:sz w:val="22"/>
                <w:szCs w:val="22"/>
                <w:lang w:val="de-DE"/>
              </w:rPr>
            </w:pPr>
            <w:r w:rsidRPr="0082411D">
              <w:rPr>
                <w:rFonts w:ascii="Times New Roman" w:hAnsi="Times New Roman"/>
                <w:sz w:val="22"/>
                <w:lang w:val="de-DE"/>
              </w:rPr>
              <w:t>4.2.1.7 (erster Satz), 4.2.1.9.1, 4.2.5.3 (TP16 und TP24),</w:t>
            </w:r>
            <w:r w:rsidRPr="0082411D">
              <w:rPr>
                <w:rFonts w:ascii="Times New Roman" w:hAnsi="Times New Roman"/>
                <w:sz w:val="22"/>
                <w:lang w:val="de-DE"/>
              </w:rPr>
              <w:br/>
              <w:t>4.3.2.1.5 (Fußnote),</w:t>
            </w:r>
            <w:r w:rsidRPr="0082411D">
              <w:rPr>
                <w:rFonts w:ascii="Times New Roman" w:hAnsi="Times New Roman"/>
                <w:sz w:val="22"/>
                <w:lang w:val="de-DE"/>
              </w:rPr>
              <w:br/>
              <w:t>6.1.1.2 (zweiter Satz), 6.1.1.4, 6.1.3.1 g), 6.1.3.7, 6.1.3.8 b), 6.1.4.8.8, 6.1.4.13.7, 6.1.5.1.1, 6.1.5.1.5, 6.1.5.1.8, 6.1.5.1.10,</w:t>
            </w:r>
            <w:r w:rsidRPr="0082411D">
              <w:rPr>
                <w:rFonts w:ascii="Times New Roman" w:hAnsi="Times New Roman"/>
                <w:sz w:val="22"/>
                <w:lang w:val="de-DE"/>
              </w:rPr>
              <w:br/>
              <w:t xml:space="preserve">6.2.1.4.1, 6.2.1.4.2, 6.2.1.5.1 (Bemerkung), 6.2.1.6.1 (Bemerkung 1), 6.2.2.1.1 (Bemerkung 2), 6.2.2.1.2 (Bemerkung 2), 6.2.2.5.1, 6.2.2.5.2.1, 6.2.2.5.2.2, 6.2.2.5.3.2, 6.2.2.5.3.3, 6.2.2.5.4.2, 6.2.2.5.4.4, 6.2.2.5.4.5, 6.2.2.5.4.6, 6.2.2.5.4.9, 6.2.2.5.4.10, 6.2.2.5.4.11, 6.2.2.7.4, </w:t>
            </w:r>
            <w:r w:rsidRPr="0082411D">
              <w:rPr>
                <w:rFonts w:ascii="Times New Roman" w:hAnsi="Times New Roman"/>
                <w:sz w:val="22"/>
                <w:lang w:val="de-DE"/>
              </w:rPr>
              <w:lastRenderedPageBreak/>
              <w:t>6.2.2.9.2 h), 6.2.2.11, 6.2.3.4.2, 6.2.3.6.1, 6.2.3.11.2, 6.2.3.11.4, 6.2.6.3.2.1,</w:t>
            </w:r>
            <w:r w:rsidRPr="0082411D">
              <w:rPr>
                <w:rFonts w:ascii="Times New Roman" w:hAnsi="Times New Roman"/>
                <w:sz w:val="22"/>
                <w:lang w:val="de-DE"/>
              </w:rPr>
              <w:br/>
              <w:t>6.3.2.1 (zweiter Satz), 6.3.2.2, 6.3.4.2, 6.3.4.3, 6.3.5.1.1, 6.3.5.1.5, 6.3.5.1.7, 6.3.5.1.8,</w:t>
            </w:r>
            <w:r w:rsidRPr="0082411D">
              <w:rPr>
                <w:rFonts w:ascii="Times New Roman" w:hAnsi="Times New Roman"/>
                <w:sz w:val="22"/>
                <w:lang w:val="de-DE"/>
              </w:rPr>
              <w:br/>
              <w:t>6.5.1.1.2, 6.5.1.1.3, 6.5.2.1.1, 6.5.2.2.5, 6.5.4.1, 6.5.4.4.1, 6.5.4.4.4, 6.5.6.1.1, 6.5.6.2.1, 6.5.6.2.3,</w:t>
            </w:r>
            <w:r w:rsidRPr="0082411D">
              <w:rPr>
                <w:rFonts w:ascii="Times New Roman" w:hAnsi="Times New Roman"/>
                <w:sz w:val="22"/>
                <w:lang w:val="de-DE"/>
              </w:rPr>
              <w:br/>
              <w:t>6.6.1.2, 6.6.1.3 (zweiter Satz), 6.6.3.1, 6.6.5.1.1, 6.6.5.1.5, 6.6.5.1.7, 6.6.5.1.8,</w:t>
            </w:r>
            <w:r w:rsidRPr="0082411D">
              <w:rPr>
                <w:rFonts w:ascii="Times New Roman" w:hAnsi="Times New Roman"/>
                <w:sz w:val="22"/>
                <w:lang w:val="de-DE"/>
              </w:rPr>
              <w:br/>
              <w:t>6.7.2.2.14, 6.7.2.3.3.1, 6.7.2.4.3, 6.7.2.6.2, 6.7.2.6.3, 6.7.2.6.4, 6.7.2.7.1, 6.7.2.8.3, 6.7.2.10.1, 6.7.2.12.2.4, 6.7.2.18.1, 6.7.2.19.5, 6.7.2.19.10, 6.7.3.2.11, 6.7.3.3.3.1, 6.7.3.7.3, 6.7.3.8.1.2, 6.7.3.14.1, 6.7.3.15.3, 6.7.3.15.5, 6.7.3.15.10, 6.7.4.2.14, 6.7.4.3.3.1, 6.7.4.5.10, 6.7.4.6.4, 6.7.4.7.4, 6.7.4.13.1, 6.7.4.14.3, 6.7.4.14.11, 6.7.5.11.1, 6.7.5.12.3,</w:t>
            </w:r>
            <w:r w:rsidRPr="0082411D">
              <w:rPr>
                <w:rFonts w:ascii="Times New Roman" w:hAnsi="Times New Roman"/>
                <w:sz w:val="22"/>
                <w:lang w:val="de-DE"/>
              </w:rPr>
              <w:br/>
              <w:t>6.8.2.1.16, 6.8.2.1.23, 6.8.2.2.2, 6.8.2.3.3, 6.8.2.3.4, 6.8.2.4.1 (Fußnote 13), 6.8.2.4.2 (Fußnote 13), 6.8.3.2.16, 6.8.3.2.26, 6.8.3.4.6, 6.8.3.4.12, 6.8.3.4.13 (Fußnote 13), 6.8.4 (TA4, TT9),</w:t>
            </w:r>
            <w:r w:rsidRPr="0082411D">
              <w:rPr>
                <w:rFonts w:ascii="Times New Roman" w:hAnsi="Times New Roman"/>
                <w:sz w:val="22"/>
                <w:lang w:val="de-DE"/>
              </w:rPr>
              <w:br/>
              <w:t>6.8.5.2.2,</w:t>
            </w:r>
            <w:r w:rsidRPr="0082411D">
              <w:rPr>
                <w:rFonts w:ascii="Times New Roman" w:hAnsi="Times New Roman"/>
                <w:sz w:val="22"/>
                <w:lang w:val="de-DE"/>
              </w:rPr>
              <w:br/>
              <w:t>6.9.2.2.2.4, 6.9.2.2.2.5, 6.9.2.2.3.14.5,</w:t>
            </w:r>
            <w:r w:rsidRPr="0082411D">
              <w:rPr>
                <w:rFonts w:ascii="Times New Roman" w:hAnsi="Times New Roman"/>
                <w:sz w:val="22"/>
                <w:lang w:val="de-DE"/>
              </w:rPr>
              <w:br/>
              <w:t xml:space="preserve">6.11.4.4, 6.11.5.3.1, 6.11.5.3.4, 6.11.5.5.1 </w:t>
            </w:r>
          </w:p>
        </w:tc>
      </w:tr>
      <w:tr w:rsidR="0082411D" w:rsidRPr="0082411D" w14:paraId="1AB58221" w14:textId="77777777" w:rsidTr="00E357F8">
        <w:tc>
          <w:tcPr>
            <w:tcW w:w="3545" w:type="dxa"/>
            <w:hideMark/>
          </w:tcPr>
          <w:p w14:paraId="4069D2AD" w14:textId="77777777" w:rsidR="0082411D" w:rsidRPr="0082411D" w:rsidRDefault="0082411D" w:rsidP="00A1258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lastRenderedPageBreak/>
              <w:t xml:space="preserve">FÖD Volksgesundheit </w:t>
            </w:r>
          </w:p>
        </w:tc>
        <w:tc>
          <w:tcPr>
            <w:tcW w:w="6520" w:type="dxa"/>
            <w:hideMark/>
          </w:tcPr>
          <w:p w14:paraId="36C41063" w14:textId="77777777" w:rsidR="0082411D" w:rsidRPr="0082411D" w:rsidRDefault="0082411D" w:rsidP="00A1258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2.2.62.1.12.1, 2.2.62.2 </w:t>
            </w:r>
          </w:p>
        </w:tc>
      </w:tr>
      <w:tr w:rsidR="0082411D" w:rsidRPr="0082411D" w14:paraId="0C9960EA" w14:textId="77777777" w:rsidTr="00E357F8">
        <w:tc>
          <w:tcPr>
            <w:tcW w:w="3545" w:type="dxa"/>
            <w:hideMark/>
          </w:tcPr>
          <w:p w14:paraId="404DEF80" w14:textId="77777777" w:rsidR="0082411D" w:rsidRPr="0082411D" w:rsidRDefault="0082411D" w:rsidP="00A1258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FÖD Volksgesundheit oder FAAG, je nach Fall </w:t>
            </w:r>
          </w:p>
        </w:tc>
        <w:tc>
          <w:tcPr>
            <w:tcW w:w="6520" w:type="dxa"/>
            <w:hideMark/>
          </w:tcPr>
          <w:p w14:paraId="08E9CE3B" w14:textId="77777777" w:rsidR="0082411D" w:rsidRPr="0082411D" w:rsidRDefault="0082411D" w:rsidP="00A1258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6.2.6.3.3 </w:t>
            </w:r>
          </w:p>
        </w:tc>
      </w:tr>
      <w:tr w:rsidR="0082411D" w:rsidRPr="0082411D" w14:paraId="34ED283A" w14:textId="77777777" w:rsidTr="00E357F8">
        <w:tc>
          <w:tcPr>
            <w:tcW w:w="3545" w:type="dxa"/>
            <w:hideMark/>
          </w:tcPr>
          <w:p w14:paraId="73279C50" w14:textId="77777777" w:rsidR="0082411D" w:rsidRPr="0082411D" w:rsidRDefault="0082411D" w:rsidP="006A2575">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Behörden, die für die Anwendung der Vorschriften zur Umsetzung der Richtlinien 2001/18/EG und 2009/41/EG und für die Verordnung (EG) Nr. 1829/2003 zuständig sind </w:t>
            </w:r>
          </w:p>
        </w:tc>
        <w:tc>
          <w:tcPr>
            <w:tcW w:w="6520" w:type="dxa"/>
            <w:hideMark/>
          </w:tcPr>
          <w:p w14:paraId="51A4A8D1" w14:textId="77777777" w:rsidR="0082411D" w:rsidRPr="0082411D" w:rsidRDefault="0082411D" w:rsidP="006A2575">
            <w:pPr>
              <w:spacing w:before="40"/>
              <w:jc w:val="both"/>
              <w:rPr>
                <w:rFonts w:ascii="Times New Roman" w:hAnsi="Times New Roman" w:cs="Times New Roman"/>
                <w:sz w:val="22"/>
                <w:szCs w:val="22"/>
                <w:lang w:val="de-DE"/>
              </w:rPr>
            </w:pPr>
            <w:r w:rsidRPr="0082411D">
              <w:rPr>
                <w:rFonts w:ascii="Times New Roman" w:hAnsi="Times New Roman"/>
                <w:sz w:val="22"/>
                <w:lang w:val="de-DE"/>
              </w:rPr>
              <w:t>2.2.9.1.11,</w:t>
            </w:r>
            <w:r w:rsidRPr="0082411D">
              <w:rPr>
                <w:rFonts w:ascii="Times New Roman" w:hAnsi="Times New Roman"/>
                <w:sz w:val="22"/>
                <w:lang w:val="de-DE"/>
              </w:rPr>
              <w:br/>
              <w:t xml:space="preserve">3.3 (Sondervorschrift 637) </w:t>
            </w:r>
          </w:p>
        </w:tc>
      </w:tr>
      <w:tr w:rsidR="0082411D" w:rsidRPr="0082411D" w14:paraId="0DE41F35" w14:textId="77777777" w:rsidTr="00E357F8">
        <w:tc>
          <w:tcPr>
            <w:tcW w:w="3545" w:type="dxa"/>
            <w:hideMark/>
          </w:tcPr>
          <w:p w14:paraId="092D0BCB"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Behörden, die für die Verordnung (EG) Nr. 1069/2009 zuständig sind, wie dies in der Vereinbarung zwischen dem Föderalstaat und den Regionen vom 16. Januar 2014 über nicht für den menschlichen Verzehr bestimmte tierische Nebenprodukte geregelt ist </w:t>
            </w:r>
          </w:p>
        </w:tc>
        <w:tc>
          <w:tcPr>
            <w:tcW w:w="6520" w:type="dxa"/>
            <w:hideMark/>
          </w:tcPr>
          <w:p w14:paraId="202A329B" w14:textId="77777777" w:rsidR="0082411D" w:rsidRPr="0082411D" w:rsidRDefault="0082411D" w:rsidP="00E357F8">
            <w:pPr>
              <w:rPr>
                <w:rFonts w:ascii="Times New Roman" w:hAnsi="Times New Roman" w:cs="Times New Roman"/>
                <w:sz w:val="22"/>
                <w:szCs w:val="22"/>
                <w:lang w:val="de-DE"/>
              </w:rPr>
            </w:pPr>
            <w:r w:rsidRPr="0082411D">
              <w:rPr>
                <w:rFonts w:ascii="Times New Roman" w:hAnsi="Times New Roman"/>
                <w:sz w:val="22"/>
                <w:lang w:val="de-DE"/>
              </w:rPr>
              <w:t>2.2.62.1.3, 2.2.62.1.9,</w:t>
            </w:r>
            <w:r w:rsidRPr="0082411D">
              <w:rPr>
                <w:rFonts w:ascii="Times New Roman" w:hAnsi="Times New Roman"/>
                <w:sz w:val="22"/>
                <w:lang w:val="de-DE"/>
              </w:rPr>
              <w:br/>
              <w:t>4.1.4.1 (P620 und P650), 4.1.8.7,</w:t>
            </w:r>
            <w:r w:rsidRPr="0082411D">
              <w:rPr>
                <w:rFonts w:ascii="Times New Roman" w:hAnsi="Times New Roman"/>
                <w:sz w:val="22"/>
                <w:lang w:val="de-DE"/>
              </w:rPr>
              <w:br/>
              <w:t xml:space="preserve">7.3.2.6.1 </w:t>
            </w:r>
          </w:p>
        </w:tc>
      </w:tr>
      <w:tr w:rsidR="0082411D" w:rsidRPr="0082411D" w14:paraId="1B64BE9A" w14:textId="77777777" w:rsidTr="00E357F8">
        <w:tc>
          <w:tcPr>
            <w:tcW w:w="3545" w:type="dxa"/>
            <w:hideMark/>
          </w:tcPr>
          <w:p w14:paraId="038DDEE4"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Einsatzdienste </w:t>
            </w:r>
          </w:p>
        </w:tc>
        <w:tc>
          <w:tcPr>
            <w:tcW w:w="6520" w:type="dxa"/>
            <w:hideMark/>
          </w:tcPr>
          <w:p w14:paraId="74AC91DD"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1.1.3.1 (d) </w:t>
            </w:r>
          </w:p>
        </w:tc>
      </w:tr>
      <w:tr w:rsidR="0082411D" w:rsidRPr="0082411D" w14:paraId="6926640E" w14:textId="77777777" w:rsidTr="00E357F8">
        <w:tc>
          <w:tcPr>
            <w:tcW w:w="3545" w:type="dxa"/>
            <w:hideMark/>
          </w:tcPr>
          <w:p w14:paraId="02F0E268"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Nationale Sicherungsbehörde, FÖD Inneres oder FÖD Volksgesundheit, je nach Fall </w:t>
            </w:r>
          </w:p>
        </w:tc>
        <w:tc>
          <w:tcPr>
            <w:tcW w:w="6520" w:type="dxa"/>
            <w:hideMark/>
          </w:tcPr>
          <w:p w14:paraId="6E2A55B1" w14:textId="77777777" w:rsidR="0082411D" w:rsidRPr="0082411D" w:rsidRDefault="0082411D" w:rsidP="00E357F8">
            <w:pPr>
              <w:spacing w:before="40"/>
              <w:jc w:val="both"/>
              <w:rPr>
                <w:rFonts w:ascii="Times New Roman" w:hAnsi="Times New Roman" w:cs="Times New Roman"/>
                <w:sz w:val="22"/>
                <w:szCs w:val="22"/>
                <w:lang w:val="de-DE"/>
              </w:rPr>
            </w:pPr>
            <w:r w:rsidRPr="0082411D">
              <w:rPr>
                <w:rFonts w:ascii="Times New Roman" w:hAnsi="Times New Roman"/>
                <w:sz w:val="22"/>
                <w:lang w:val="de-DE"/>
              </w:rPr>
              <w:t xml:space="preserve">1.10.3 (Bemerkung) </w:t>
            </w:r>
          </w:p>
        </w:tc>
      </w:tr>
      <w:tr w:rsidR="0082411D" w:rsidRPr="0082411D" w14:paraId="66D79C3A" w14:textId="77777777" w:rsidTr="00E357F8">
        <w:tc>
          <w:tcPr>
            <w:tcW w:w="3545" w:type="dxa"/>
            <w:hideMark/>
          </w:tcPr>
          <w:p w14:paraId="00D96E7E"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Föderale Polizei, Corporate Security Services der NGBE, Betreiber der Infrastruktur, Nationale Sicherungsbehörde </w:t>
            </w:r>
          </w:p>
        </w:tc>
        <w:tc>
          <w:tcPr>
            <w:tcW w:w="6520" w:type="dxa"/>
            <w:hideMark/>
          </w:tcPr>
          <w:p w14:paraId="30707F7D" w14:textId="77777777" w:rsidR="0082411D" w:rsidRPr="0082411D" w:rsidRDefault="0082411D" w:rsidP="00D83889">
            <w:pPr>
              <w:jc w:val="both"/>
              <w:rPr>
                <w:rFonts w:ascii="Times New Roman" w:hAnsi="Times New Roman" w:cs="Times New Roman"/>
                <w:sz w:val="22"/>
                <w:szCs w:val="22"/>
                <w:lang w:val="de-DE"/>
              </w:rPr>
            </w:pPr>
            <w:r w:rsidRPr="0082411D">
              <w:rPr>
                <w:rFonts w:ascii="Times New Roman" w:hAnsi="Times New Roman"/>
                <w:sz w:val="22"/>
                <w:lang w:val="de-DE"/>
              </w:rPr>
              <w:t xml:space="preserve">1.10.3.2.2 </w:t>
            </w:r>
          </w:p>
        </w:tc>
      </w:tr>
      <w:tr w:rsidR="0082411D" w:rsidRPr="0082411D" w14:paraId="0ACFB773" w14:textId="77777777" w:rsidTr="00E357F8">
        <w:tc>
          <w:tcPr>
            <w:tcW w:w="3545" w:type="dxa"/>
            <w:hideMark/>
          </w:tcPr>
          <w:p w14:paraId="78913CCA"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Behörde, die gemäß dem Königlichen Erlass vom 12. August 2008 über das Inverkehrbringen von Maschinen zuständig ist </w:t>
            </w:r>
          </w:p>
        </w:tc>
        <w:tc>
          <w:tcPr>
            <w:tcW w:w="6520" w:type="dxa"/>
            <w:hideMark/>
          </w:tcPr>
          <w:p w14:paraId="76D60020" w14:textId="77777777" w:rsidR="0082411D" w:rsidRPr="0082411D" w:rsidRDefault="0082411D" w:rsidP="00E357F8">
            <w:pPr>
              <w:spacing w:before="40"/>
              <w:jc w:val="both"/>
              <w:rPr>
                <w:rFonts w:ascii="Times New Roman" w:hAnsi="Times New Roman" w:cs="Times New Roman"/>
                <w:sz w:val="22"/>
                <w:szCs w:val="22"/>
                <w:lang w:val="de-DE"/>
              </w:rPr>
            </w:pPr>
            <w:r w:rsidRPr="0082411D">
              <w:rPr>
                <w:rFonts w:ascii="Times New Roman" w:hAnsi="Times New Roman"/>
                <w:sz w:val="22"/>
                <w:lang w:val="de-DE"/>
              </w:rPr>
              <w:t xml:space="preserve">3.3 (Sondervorschrift 363) </w:t>
            </w:r>
          </w:p>
        </w:tc>
      </w:tr>
      <w:tr w:rsidR="0082411D" w:rsidRPr="0082411D" w14:paraId="4067097B" w14:textId="77777777" w:rsidTr="00E357F8">
        <w:tc>
          <w:tcPr>
            <w:tcW w:w="3545" w:type="dxa"/>
            <w:hideMark/>
          </w:tcPr>
          <w:p w14:paraId="5DBD78F0"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Stelle, die gemäß dem im Königlichen Erlass vom 31. Januar 2006 zur Schaffung des BELAC-Systems zur Akkreditierung von </w:t>
            </w:r>
            <w:r w:rsidRPr="0082411D">
              <w:rPr>
                <w:rFonts w:ascii="Times New Roman" w:hAnsi="Times New Roman"/>
                <w:sz w:val="22"/>
                <w:lang w:val="de-DE"/>
              </w:rPr>
              <w:lastRenderedPageBreak/>
              <w:t xml:space="preserve">Konformitätsbewertungsstellen vorgesehenen Verfahren akkreditiert ist </w:t>
            </w:r>
          </w:p>
        </w:tc>
        <w:tc>
          <w:tcPr>
            <w:tcW w:w="6520" w:type="dxa"/>
            <w:hideMark/>
          </w:tcPr>
          <w:p w14:paraId="48D577F0" w14:textId="77777777" w:rsidR="0082411D" w:rsidRPr="0082411D" w:rsidRDefault="0082411D" w:rsidP="00E357F8">
            <w:pPr>
              <w:spacing w:before="40"/>
              <w:jc w:val="both"/>
              <w:rPr>
                <w:rFonts w:ascii="Times New Roman" w:hAnsi="Times New Roman" w:cs="Times New Roman"/>
                <w:sz w:val="22"/>
                <w:szCs w:val="22"/>
                <w:lang w:val="de-DE"/>
              </w:rPr>
            </w:pPr>
            <w:r w:rsidRPr="0082411D">
              <w:rPr>
                <w:rFonts w:ascii="Times New Roman" w:hAnsi="Times New Roman"/>
                <w:sz w:val="22"/>
                <w:lang w:val="de-DE"/>
              </w:rPr>
              <w:lastRenderedPageBreak/>
              <w:t xml:space="preserve">3.3 (Sondervorschrift 674 (i) letzter Gedankenstrich) </w:t>
            </w:r>
          </w:p>
        </w:tc>
      </w:tr>
      <w:tr w:rsidR="0082411D" w:rsidRPr="0082411D" w14:paraId="673848D7" w14:textId="77777777" w:rsidTr="00E357F8">
        <w:tc>
          <w:tcPr>
            <w:tcW w:w="3545" w:type="dxa"/>
            <w:hideMark/>
          </w:tcPr>
          <w:p w14:paraId="4BE37E9D"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Siehe Artikel 17 </w:t>
            </w:r>
          </w:p>
        </w:tc>
        <w:tc>
          <w:tcPr>
            <w:tcW w:w="6520" w:type="dxa"/>
            <w:hideMark/>
          </w:tcPr>
          <w:p w14:paraId="717D1916"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1.10.2.4, 1.3.3 </w:t>
            </w:r>
          </w:p>
        </w:tc>
      </w:tr>
      <w:tr w:rsidR="0082411D" w:rsidRPr="0082411D" w14:paraId="0717339D" w14:textId="77777777" w:rsidTr="00E357F8">
        <w:tc>
          <w:tcPr>
            <w:tcW w:w="3545" w:type="dxa"/>
            <w:hideMark/>
          </w:tcPr>
          <w:p w14:paraId="754F5704"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Siehe Artikel 18 </w:t>
            </w:r>
          </w:p>
        </w:tc>
        <w:tc>
          <w:tcPr>
            <w:tcW w:w="6520" w:type="dxa"/>
            <w:hideMark/>
          </w:tcPr>
          <w:p w14:paraId="7FCA1867"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1.8.5.1, 1.8.5.3 (letzter Satz) </w:t>
            </w:r>
          </w:p>
        </w:tc>
      </w:tr>
      <w:tr w:rsidR="0082411D" w:rsidRPr="0082411D" w14:paraId="2A9AC40A" w14:textId="77777777" w:rsidTr="00E357F8">
        <w:tc>
          <w:tcPr>
            <w:tcW w:w="3545" w:type="dxa"/>
            <w:hideMark/>
          </w:tcPr>
          <w:p w14:paraId="2023BBD2"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Siehe Artikel 21 </w:t>
            </w:r>
          </w:p>
        </w:tc>
        <w:tc>
          <w:tcPr>
            <w:tcW w:w="6520" w:type="dxa"/>
            <w:hideMark/>
          </w:tcPr>
          <w:p w14:paraId="15E91A18"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6.2.2.6.3.3, 6.2.2.6.4.6 </w:t>
            </w:r>
          </w:p>
        </w:tc>
      </w:tr>
      <w:tr w:rsidR="0082411D" w:rsidRPr="0082411D" w14:paraId="2C407265" w14:textId="77777777" w:rsidTr="00E357F8">
        <w:tc>
          <w:tcPr>
            <w:tcW w:w="3545" w:type="dxa"/>
            <w:hideMark/>
          </w:tcPr>
          <w:p w14:paraId="0E5F8BC0"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Siehe Artikel 24 </w:t>
            </w:r>
          </w:p>
        </w:tc>
        <w:tc>
          <w:tcPr>
            <w:tcW w:w="6520" w:type="dxa"/>
            <w:hideMark/>
          </w:tcPr>
          <w:p w14:paraId="02810F9C"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1.2.1 (Bestimmung des Begriffs "Beförderung"), 1.8.1 </w:t>
            </w:r>
          </w:p>
        </w:tc>
      </w:tr>
      <w:tr w:rsidR="0082411D" w:rsidRPr="0082411D" w14:paraId="3B373F79" w14:textId="77777777" w:rsidTr="00E357F8">
        <w:tc>
          <w:tcPr>
            <w:tcW w:w="3545" w:type="dxa"/>
            <w:hideMark/>
          </w:tcPr>
          <w:p w14:paraId="3F71524D"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Siehe Anlage 3, 1.3 </w:t>
            </w:r>
          </w:p>
        </w:tc>
        <w:tc>
          <w:tcPr>
            <w:tcW w:w="6520" w:type="dxa"/>
            <w:hideMark/>
          </w:tcPr>
          <w:p w14:paraId="796F3AFF"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6.1.5.1.3 </w:t>
            </w:r>
          </w:p>
        </w:tc>
      </w:tr>
      <w:tr w:rsidR="0082411D" w:rsidRPr="0082411D" w14:paraId="0CA84A3D" w14:textId="77777777" w:rsidTr="00E357F8">
        <w:tc>
          <w:tcPr>
            <w:tcW w:w="3545" w:type="dxa"/>
            <w:hideMark/>
          </w:tcPr>
          <w:p w14:paraId="518AE218" w14:textId="77777777" w:rsidR="0082411D" w:rsidRPr="0082411D" w:rsidRDefault="0082411D" w:rsidP="00A53296">
            <w:pPr>
              <w:spacing w:before="40"/>
              <w:jc w:val="both"/>
              <w:rPr>
                <w:rFonts w:ascii="Times New Roman" w:hAnsi="Times New Roman" w:cs="Times New Roman"/>
                <w:sz w:val="22"/>
                <w:szCs w:val="22"/>
                <w:lang w:val="de-DE"/>
              </w:rPr>
            </w:pPr>
            <w:r w:rsidRPr="0082411D">
              <w:rPr>
                <w:rFonts w:ascii="Times New Roman" w:hAnsi="Times New Roman"/>
                <w:sz w:val="22"/>
                <w:lang w:val="de-DE"/>
              </w:rPr>
              <w:t xml:space="preserve">Siehe Anlage 3, 4 </w:t>
            </w:r>
          </w:p>
        </w:tc>
        <w:tc>
          <w:tcPr>
            <w:tcW w:w="6520" w:type="dxa"/>
            <w:hideMark/>
          </w:tcPr>
          <w:p w14:paraId="58108417" w14:textId="77777777" w:rsidR="0082411D" w:rsidRPr="0082411D" w:rsidRDefault="0082411D" w:rsidP="00A53296">
            <w:pPr>
              <w:spacing w:before="40"/>
              <w:jc w:val="both"/>
              <w:rPr>
                <w:rFonts w:ascii="Times New Roman" w:hAnsi="Times New Roman" w:cs="Times New Roman"/>
                <w:sz w:val="22"/>
                <w:szCs w:val="22"/>
                <w:lang w:val="de-DE"/>
              </w:rPr>
            </w:pPr>
            <w:r w:rsidRPr="0082411D">
              <w:rPr>
                <w:rFonts w:ascii="Times New Roman" w:hAnsi="Times New Roman"/>
                <w:sz w:val="22"/>
                <w:lang w:val="de-DE"/>
              </w:rPr>
              <w:t xml:space="preserve">4.1.4.1 (P200 ((12) 1.1, 1.2, 1.4, 1.5 (außer Bemerkung), 1.6, 2.2, 2.3 und 3.2 und (13) 1.1, 1.2, 1.5, 1.6 (außer Bemerkung), 1.7, 2.5, 2.6, 3.1 und 3.2)) </w:t>
            </w:r>
          </w:p>
        </w:tc>
      </w:tr>
      <w:tr w:rsidR="0082411D" w:rsidRPr="0082411D" w14:paraId="02C587C0" w14:textId="77777777" w:rsidTr="00E357F8">
        <w:tc>
          <w:tcPr>
            <w:tcW w:w="3545" w:type="dxa"/>
            <w:hideMark/>
          </w:tcPr>
          <w:p w14:paraId="2F34BE82"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Siehe Anlage 3, 3.2 </w:t>
            </w:r>
          </w:p>
        </w:tc>
        <w:tc>
          <w:tcPr>
            <w:tcW w:w="6520" w:type="dxa"/>
            <w:hideMark/>
          </w:tcPr>
          <w:p w14:paraId="157D4B7C"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6.8.2.1.2 </w:t>
            </w:r>
          </w:p>
        </w:tc>
      </w:tr>
      <w:tr w:rsidR="0082411D" w:rsidRPr="0082411D" w14:paraId="3B4098E7" w14:textId="77777777" w:rsidTr="00E357F8">
        <w:tc>
          <w:tcPr>
            <w:tcW w:w="3545" w:type="dxa"/>
            <w:hideMark/>
          </w:tcPr>
          <w:p w14:paraId="6EF590F6"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 xml:space="preserve">Siehe Anlage 3, 5.3 </w:t>
            </w:r>
          </w:p>
        </w:tc>
        <w:tc>
          <w:tcPr>
            <w:tcW w:w="6520" w:type="dxa"/>
            <w:hideMark/>
          </w:tcPr>
          <w:p w14:paraId="5DC720C2" w14:textId="77777777" w:rsidR="0082411D" w:rsidRPr="0082411D" w:rsidRDefault="0082411D" w:rsidP="00A53296">
            <w:pPr>
              <w:spacing w:before="40" w:after="40"/>
              <w:jc w:val="both"/>
              <w:rPr>
                <w:rFonts w:ascii="Times New Roman" w:hAnsi="Times New Roman" w:cs="Times New Roman"/>
                <w:sz w:val="22"/>
                <w:szCs w:val="22"/>
                <w:lang w:val="de-DE"/>
              </w:rPr>
            </w:pPr>
            <w:r w:rsidRPr="0082411D">
              <w:rPr>
                <w:rFonts w:ascii="Times New Roman" w:hAnsi="Times New Roman"/>
                <w:sz w:val="22"/>
                <w:lang w:val="de-DE"/>
              </w:rPr>
              <w:t>1.9.3</w:t>
            </w:r>
          </w:p>
        </w:tc>
      </w:tr>
    </w:tbl>
    <w:p w14:paraId="3836BB5F" w14:textId="77777777" w:rsidR="0082411D" w:rsidRPr="0082411D" w:rsidRDefault="0082411D" w:rsidP="00D83889">
      <w:pPr>
        <w:jc w:val="both"/>
        <w:rPr>
          <w:lang w:val="de-DE"/>
        </w:rPr>
      </w:pPr>
    </w:p>
    <w:p w14:paraId="11AA0CFA" w14:textId="77777777" w:rsidR="0082411D" w:rsidRDefault="0082411D">
      <w:pPr>
        <w:rPr>
          <w:lang w:val="de-DE"/>
        </w:rPr>
      </w:pPr>
      <w:r>
        <w:rPr>
          <w:lang w:val="de-DE"/>
        </w:rPr>
        <w:br w:type="page"/>
      </w:r>
    </w:p>
    <w:p w14:paraId="1AF70F3E" w14:textId="43C0A072" w:rsidR="0082411D" w:rsidRPr="0082411D" w:rsidRDefault="0082411D" w:rsidP="0082411D">
      <w:pPr>
        <w:jc w:val="center"/>
        <w:rPr>
          <w:lang w:val="de-DE"/>
        </w:rPr>
      </w:pPr>
      <w:r w:rsidRPr="0082411D">
        <w:rPr>
          <w:lang w:val="de-DE"/>
        </w:rPr>
        <w:lastRenderedPageBreak/>
        <w:t>Anlage 2</w:t>
      </w:r>
    </w:p>
    <w:p w14:paraId="13108023" w14:textId="77777777" w:rsidR="0082411D" w:rsidRPr="0082411D" w:rsidRDefault="0082411D" w:rsidP="00D83889">
      <w:pPr>
        <w:jc w:val="both"/>
        <w:rPr>
          <w:lang w:val="de-DE"/>
        </w:rPr>
      </w:pPr>
    </w:p>
    <w:p w14:paraId="7B10848B" w14:textId="77777777" w:rsidR="0082411D" w:rsidRPr="0082411D" w:rsidRDefault="0082411D" w:rsidP="0082411D">
      <w:pPr>
        <w:jc w:val="center"/>
        <w:rPr>
          <w:lang w:val="de-DE"/>
        </w:rPr>
      </w:pPr>
      <w:r w:rsidRPr="0082411D">
        <w:rPr>
          <w:lang w:val="de-DE"/>
        </w:rPr>
        <w:t>Anlage 4 zum Königlichen Erlass vom 24. Januar 2024 über die Eisenbahnbeförderung gefährlicher Güter, mit Ausnahme von explosionsfähigen und radioaktiven Stoffen</w:t>
      </w:r>
    </w:p>
    <w:p w14:paraId="43B9D3CA" w14:textId="77777777" w:rsidR="0082411D" w:rsidRPr="0082411D" w:rsidRDefault="0082411D" w:rsidP="00D83889">
      <w:pPr>
        <w:jc w:val="both"/>
        <w:rPr>
          <w:lang w:val="de-DE"/>
        </w:rPr>
      </w:pPr>
    </w:p>
    <w:p w14:paraId="4AFEB9A2" w14:textId="77777777" w:rsidR="0082411D" w:rsidRPr="0082411D" w:rsidRDefault="0082411D" w:rsidP="00D83889">
      <w:pPr>
        <w:jc w:val="both"/>
        <w:rPr>
          <w:lang w:val="de-DE"/>
        </w:rPr>
      </w:pPr>
      <w:r w:rsidRPr="0082411D">
        <w:rPr>
          <w:lang w:val="de-DE"/>
        </w:rPr>
        <w:tab/>
        <w:t>Anlage 4 - RID</w:t>
      </w:r>
    </w:p>
    <w:p w14:paraId="2924601B" w14:textId="77777777" w:rsidR="0082411D" w:rsidRPr="0082411D" w:rsidRDefault="0082411D" w:rsidP="00D83889">
      <w:pPr>
        <w:jc w:val="both"/>
        <w:rPr>
          <w:lang w:val="de-DE"/>
        </w:rPr>
      </w:pPr>
    </w:p>
    <w:p w14:paraId="7387C6FE" w14:textId="77777777" w:rsidR="0082411D" w:rsidRPr="0082411D" w:rsidRDefault="0082411D" w:rsidP="00D83889">
      <w:pPr>
        <w:jc w:val="both"/>
        <w:rPr>
          <w:lang w:val="de-DE"/>
        </w:rPr>
      </w:pPr>
    </w:p>
    <w:p w14:paraId="3AEA00A6" w14:textId="77777777" w:rsidR="0082411D" w:rsidRPr="0082411D" w:rsidRDefault="0082411D" w:rsidP="00E35B70">
      <w:pPr>
        <w:jc w:val="center"/>
        <w:rPr>
          <w:i/>
          <w:iCs/>
          <w:lang w:val="de-DE"/>
        </w:rPr>
      </w:pPr>
      <w:r w:rsidRPr="0082411D">
        <w:rPr>
          <w:i/>
          <w:lang w:val="de-DE"/>
        </w:rPr>
        <w:t>https://otif.org/fileadmin/docs/LegalTexts/COTIF/DangerousGoodsRID/RID/RID_2025_d_1_January_2025.pdf</w:t>
      </w:r>
    </w:p>
    <w:p w14:paraId="3E27BC3E" w14:textId="77777777" w:rsidR="0082411D" w:rsidRPr="0082411D" w:rsidRDefault="0082411D" w:rsidP="00D83889">
      <w:pPr>
        <w:jc w:val="both"/>
        <w:rPr>
          <w:lang w:val="de-DE"/>
        </w:rPr>
      </w:pPr>
    </w:p>
    <w:p w14:paraId="7D11347C" w14:textId="77777777" w:rsidR="00233F36" w:rsidRPr="0082411D" w:rsidRDefault="00233F36" w:rsidP="00E1687C">
      <w:pPr>
        <w:jc w:val="both"/>
        <w:rPr>
          <w:lang w:val="de-DE"/>
        </w:rPr>
      </w:pPr>
    </w:p>
    <w:sectPr w:rsidR="00233F36" w:rsidRPr="0082411D" w:rsidSect="0082411D">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569877727">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D55BA"/>
    <w:rsid w:val="006F4381"/>
    <w:rsid w:val="00786C4F"/>
    <w:rsid w:val="007A515C"/>
    <w:rsid w:val="007D5F55"/>
    <w:rsid w:val="00800E1A"/>
    <w:rsid w:val="0082411D"/>
    <w:rsid w:val="008C2124"/>
    <w:rsid w:val="008E71A2"/>
    <w:rsid w:val="00AA413E"/>
    <w:rsid w:val="00AB18C3"/>
    <w:rsid w:val="00B27BE9"/>
    <w:rsid w:val="00B56114"/>
    <w:rsid w:val="00BE3011"/>
    <w:rsid w:val="00C43D43"/>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0EFA34"/>
  <w15:docId w15:val="{E580A5E2-CE5C-4290-840A-AE92EDFD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11D"/>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 w:type="table" w:styleId="Grilledutableau">
    <w:name w:val="Table Grid"/>
    <w:basedOn w:val="TableauNormal"/>
    <w:uiPriority w:val="39"/>
    <w:locked/>
    <w:rsid w:val="0082411D"/>
    <w:rPr>
      <w:rFonts w:asciiTheme="minorHAnsi" w:eastAsiaTheme="minorHAnsi" w:hAnsiTheme="minorHAnsi" w:cstheme="minorBidi"/>
      <w:kern w:val="2"/>
      <w:sz w:val="24"/>
      <w:szCs w:val="24"/>
      <w:lang w:val="de-D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2452</Words>
  <Characters>13486</Characters>
  <Application>Microsoft Office Word</Application>
  <DocSecurity>0</DocSecurity>
  <Lines>112</Lines>
  <Paragraphs>31</Paragraphs>
  <ScaleCrop>false</ScaleCrop>
  <Company/>
  <LinksUpToDate>false</LinksUpToDate>
  <CharactersWithSpaces>15907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2026-04-16T07:55:00Z</dcterms:created>
  <dcterms:modified xsi:type="dcterms:W3CDTF">2026-04-16T07:58:00Z</dcterms:modified>
</cp:coreProperties>
</file>