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A06C" w14:textId="77777777" w:rsidR="00453BFA" w:rsidRPr="00202094" w:rsidRDefault="00453BFA" w:rsidP="00453BFA">
      <w:pPr>
        <w:jc w:val="both"/>
        <w:rPr>
          <w:b/>
          <w:bCs/>
        </w:rPr>
      </w:pPr>
      <w:r>
        <w:rPr>
          <w:b/>
          <w:bCs/>
        </w:rPr>
        <w:t>5. SEPTEMBER 2025 -</w:t>
      </w:r>
      <w:r>
        <w:rPr>
          <w:b/>
        </w:rPr>
        <w:t xml:space="preserve"> Königlicher Erlass zur Abänderung des Königlichen Erlasses vom 14. Juni 2017 zur Ausführung der Artikel 32</w:t>
      </w:r>
      <w:r>
        <w:rPr>
          <w:b/>
          <w:i/>
          <w:iCs/>
        </w:rPr>
        <w:t>quater</w:t>
      </w:r>
      <w:r>
        <w:rPr>
          <w:b/>
        </w:rPr>
        <w:t>/1 § 1 und 32</w:t>
      </w:r>
      <w:r>
        <w:rPr>
          <w:b/>
          <w:i/>
          <w:iCs/>
        </w:rPr>
        <w:t>quater</w:t>
      </w:r>
      <w:r>
        <w:rPr>
          <w:b/>
        </w:rPr>
        <w:t>/2 §§ 1 und 6 des Gerichtsgesetzbuches</w:t>
      </w:r>
    </w:p>
    <w:p w14:paraId="149D5DEE" w14:textId="77774545" w:rsidR="00453BFA" w:rsidRPr="00C80000" w:rsidRDefault="00453BFA" w:rsidP="00127CA8">
      <w:pPr>
        <w:jc w:val="both"/>
      </w:pPr>
    </w:p>
    <w:p w14:paraId="742939AA" w14:textId="77777777" w:rsidR="00453BFA" w:rsidRPr="00C80000" w:rsidRDefault="00453BFA"/>
    <w:p w14:paraId="6C963687" w14:textId="4DBCD00F" w:rsidR="00453BFA" w:rsidRPr="00C80000" w:rsidRDefault="00453BFA" w:rsidP="000F5F44">
      <w:pPr>
        <w:jc w:val="center"/>
        <w:rPr>
          <w:i/>
        </w:rPr>
      </w:pPr>
      <w:r w:rsidRPr="00C80000">
        <w:t>(</w:t>
      </w:r>
      <w:r w:rsidRPr="00C80000">
        <w:rPr>
          <w:i/>
        </w:rPr>
        <w:t xml:space="preserve">Belgisches Staatsblatt </w:t>
      </w:r>
      <w:r w:rsidRPr="00C80000">
        <w:t>vom</w:t>
      </w:r>
      <w:r>
        <w:t xml:space="preserve"> 19. November 2025</w:t>
      </w:r>
      <w:r w:rsidRPr="00C80000">
        <w:t>)</w:t>
      </w:r>
    </w:p>
    <w:p w14:paraId="59B6B7FA" w14:textId="77777777" w:rsidR="00453BFA" w:rsidRPr="00127CA8" w:rsidRDefault="00453BFA" w:rsidP="000F5F44">
      <w:pPr>
        <w:jc w:val="center"/>
      </w:pPr>
    </w:p>
    <w:p w14:paraId="51BCD10E" w14:textId="77777777" w:rsidR="00453BFA" w:rsidRPr="00C80000" w:rsidRDefault="00453BFA" w:rsidP="00CA081B">
      <w:pPr>
        <w:jc w:val="center"/>
      </w:pPr>
    </w:p>
    <w:p w14:paraId="53ACDAC1" w14:textId="77777777" w:rsidR="00453BFA" w:rsidRDefault="00453BFA" w:rsidP="00CA081B">
      <w:pPr>
        <w:jc w:val="both"/>
      </w:pPr>
      <w:r w:rsidRPr="00C80000">
        <w:t>Diese deutsche Übersetzung ist von der Zentralen Dienststelle für Deutsche Übersetzungen in Malmedy erstellt worden.</w:t>
      </w:r>
    </w:p>
    <w:p w14:paraId="295101B2" w14:textId="77777777" w:rsidR="00453BFA" w:rsidRDefault="00453BFA" w:rsidP="00CA081B">
      <w:pPr>
        <w:jc w:val="both"/>
      </w:pPr>
    </w:p>
    <w:p w14:paraId="23BACC81" w14:textId="77777777" w:rsidR="00453BFA" w:rsidRPr="00C80000" w:rsidRDefault="00453BFA" w:rsidP="00CA081B">
      <w:pPr>
        <w:jc w:val="both"/>
      </w:pPr>
    </w:p>
    <w:p w14:paraId="5044253D" w14:textId="77777777" w:rsidR="00453BFA" w:rsidRDefault="00453BFA" w:rsidP="006F4381">
      <w:pPr>
        <w:jc w:val="both"/>
        <w:sectPr w:rsidR="00453BFA" w:rsidSect="00453BFA">
          <w:pgSz w:w="11906" w:h="16838" w:code="9"/>
          <w:pgMar w:top="1418" w:right="1418" w:bottom="1418" w:left="1418" w:header="709" w:footer="709" w:gutter="0"/>
          <w:cols w:space="708"/>
          <w:vAlign w:val="center"/>
          <w:docGrid w:linePitch="360"/>
        </w:sectPr>
      </w:pPr>
    </w:p>
    <w:p w14:paraId="38598ADE" w14:textId="57F2E973" w:rsidR="00202094" w:rsidRPr="00202094" w:rsidRDefault="00202094" w:rsidP="00202094">
      <w:pPr>
        <w:jc w:val="center"/>
        <w:rPr>
          <w:b/>
          <w:bCs/>
          <w:caps/>
        </w:rPr>
      </w:pPr>
      <w:r>
        <w:rPr>
          <w:b/>
          <w:caps/>
        </w:rPr>
        <w:lastRenderedPageBreak/>
        <w:t>FÖDERALER ÖFFENTLICHER DIENST JUSTIZ</w:t>
      </w:r>
    </w:p>
    <w:p w14:paraId="20FCDEAC" w14:textId="77777777" w:rsidR="00202094" w:rsidRPr="00EB15B6" w:rsidRDefault="00202094" w:rsidP="00202094">
      <w:pPr>
        <w:rPr>
          <w:b/>
          <w:bCs/>
        </w:rPr>
      </w:pPr>
    </w:p>
    <w:p w14:paraId="2A0D2D1F" w14:textId="77777777" w:rsidR="00202094" w:rsidRPr="00EB15B6" w:rsidRDefault="00202094" w:rsidP="00202094">
      <w:pPr>
        <w:rPr>
          <w:b/>
          <w:bCs/>
        </w:rPr>
      </w:pPr>
    </w:p>
    <w:p w14:paraId="6EB3B8E5" w14:textId="5688B688" w:rsidR="00202094" w:rsidRPr="00202094" w:rsidRDefault="00202094" w:rsidP="00EB15B6">
      <w:pPr>
        <w:jc w:val="both"/>
        <w:rPr>
          <w:b/>
          <w:bCs/>
        </w:rPr>
      </w:pPr>
      <w:r>
        <w:rPr>
          <w:b/>
          <w:bCs/>
        </w:rPr>
        <w:t>5. SEPTEMBER 2025 -</w:t>
      </w:r>
      <w:r>
        <w:rPr>
          <w:b/>
        </w:rPr>
        <w:t xml:space="preserve"> Königlicher Erlass zur Abänderung des Königlichen Erlasses vom 14. Juni 2017 zur Ausführung der Artikel 32</w:t>
      </w:r>
      <w:r>
        <w:rPr>
          <w:b/>
          <w:i/>
          <w:iCs/>
        </w:rPr>
        <w:t>quater</w:t>
      </w:r>
      <w:r>
        <w:rPr>
          <w:b/>
        </w:rPr>
        <w:t>/1 § 1 und 32</w:t>
      </w:r>
      <w:r>
        <w:rPr>
          <w:b/>
          <w:i/>
          <w:iCs/>
        </w:rPr>
        <w:t>quater</w:t>
      </w:r>
      <w:r>
        <w:rPr>
          <w:b/>
        </w:rPr>
        <w:t>/2 §§ 1 und 6 des Gerichtsgesetzbuches</w:t>
      </w:r>
    </w:p>
    <w:p w14:paraId="7F95DB40" w14:textId="77777777" w:rsidR="00202094" w:rsidRPr="00EB15B6" w:rsidRDefault="00202094" w:rsidP="00202094"/>
    <w:p w14:paraId="025133AA" w14:textId="77777777" w:rsidR="00202094" w:rsidRPr="00EB15B6" w:rsidRDefault="00202094" w:rsidP="00202094"/>
    <w:p w14:paraId="55CADA3F" w14:textId="7F8F6944" w:rsidR="00202094" w:rsidRDefault="00202094" w:rsidP="00202094">
      <w:r>
        <w:tab/>
      </w:r>
      <w:r>
        <w:tab/>
      </w:r>
      <w:r>
        <w:tab/>
        <w:t>PHILIPPE, König der Belgier,</w:t>
      </w:r>
    </w:p>
    <w:p w14:paraId="41760711" w14:textId="77777777" w:rsidR="00202094" w:rsidRPr="00EB15B6" w:rsidRDefault="00202094" w:rsidP="00202094"/>
    <w:p w14:paraId="62239081" w14:textId="1BD84BC2" w:rsidR="00202094" w:rsidRDefault="00202094" w:rsidP="00202094">
      <w:r>
        <w:tab/>
      </w:r>
      <w:r>
        <w:tab/>
        <w:t>Allen Gegenwärtigen und Zukünftigen, Unser Gruß!</w:t>
      </w:r>
    </w:p>
    <w:p w14:paraId="3137AF00" w14:textId="77777777" w:rsidR="00202094" w:rsidRPr="00EB15B6" w:rsidRDefault="00202094" w:rsidP="00202094"/>
    <w:p w14:paraId="25223202" w14:textId="77777777" w:rsidR="00202094" w:rsidRPr="00EB15B6" w:rsidRDefault="00202094" w:rsidP="00202094"/>
    <w:p w14:paraId="096B9B1B" w14:textId="2BE54614" w:rsidR="00202094" w:rsidRDefault="00202094" w:rsidP="00202094">
      <w:pPr>
        <w:jc w:val="both"/>
      </w:pPr>
      <w:r>
        <w:tab/>
        <w:t>Aufgrund des Gerichtsgesetzbuches, des Artikels 32</w:t>
      </w:r>
      <w:r>
        <w:rPr>
          <w:i/>
          <w:iCs/>
        </w:rPr>
        <w:t>quater</w:t>
      </w:r>
      <w:r>
        <w:t>/2 § 1, § 3 Absatz 2 und § 6, eingefügt durch das Gesetz vom 4. Mai 2016 und abgeändert durch die Gesetze vom 5. Mai 2019, 28. November 2021 und 15. Mai 2024;</w:t>
      </w:r>
    </w:p>
    <w:p w14:paraId="162E4C74" w14:textId="77777777" w:rsidR="008943D7" w:rsidRPr="00202094" w:rsidRDefault="008943D7" w:rsidP="00202094">
      <w:pPr>
        <w:jc w:val="both"/>
        <w:rPr>
          <w:lang w:val="fr-FR"/>
        </w:rPr>
      </w:pPr>
    </w:p>
    <w:p w14:paraId="002A000D" w14:textId="0937B2E5" w:rsidR="00202094" w:rsidRDefault="008943D7" w:rsidP="00202094">
      <w:pPr>
        <w:jc w:val="both"/>
      </w:pPr>
      <w:r>
        <w:tab/>
        <w:t>Aufgrund des Königlichen Erlasses vom 14. Juni 2017 zur Ausführung der Artikel 32</w:t>
      </w:r>
      <w:r>
        <w:rPr>
          <w:i/>
          <w:iCs/>
        </w:rPr>
        <w:t>quater</w:t>
      </w:r>
      <w:r>
        <w:t>/1 § 1 und 32</w:t>
      </w:r>
      <w:r>
        <w:rPr>
          <w:i/>
          <w:iCs/>
        </w:rPr>
        <w:t>quater</w:t>
      </w:r>
      <w:r>
        <w:t>/2 §§ 1 und 6 des Gerichtsgesetzbuches;</w:t>
      </w:r>
    </w:p>
    <w:p w14:paraId="1E3FB012" w14:textId="77777777" w:rsidR="008943D7" w:rsidRPr="00EB15B6" w:rsidRDefault="008943D7" w:rsidP="00202094">
      <w:pPr>
        <w:jc w:val="both"/>
      </w:pPr>
    </w:p>
    <w:p w14:paraId="6650B0C3" w14:textId="735946FB" w:rsidR="00202094" w:rsidRDefault="00C27FED" w:rsidP="00202094">
      <w:pPr>
        <w:jc w:val="both"/>
      </w:pPr>
      <w:r>
        <w:tab/>
        <w:t>Aufgrund der Stellungnahme des Finanzinspektors vom 8. April 2025;</w:t>
      </w:r>
    </w:p>
    <w:p w14:paraId="52B12FF6" w14:textId="77777777" w:rsidR="008943D7" w:rsidRPr="00202094" w:rsidRDefault="008943D7" w:rsidP="00202094">
      <w:pPr>
        <w:jc w:val="both"/>
        <w:rPr>
          <w:lang w:val="fr-FR"/>
        </w:rPr>
      </w:pPr>
    </w:p>
    <w:p w14:paraId="409A11F7" w14:textId="7289DDAF" w:rsidR="00202094" w:rsidRDefault="008943D7" w:rsidP="00202094">
      <w:pPr>
        <w:jc w:val="both"/>
      </w:pPr>
      <w:r>
        <w:tab/>
        <w:t>Aufgrund des Einverständnisses des Ministers des Haushalts vom 15. Mai 2025;</w:t>
      </w:r>
    </w:p>
    <w:p w14:paraId="645BFD35" w14:textId="77777777" w:rsidR="008943D7" w:rsidRPr="00202094" w:rsidRDefault="008943D7" w:rsidP="00202094">
      <w:pPr>
        <w:jc w:val="both"/>
        <w:rPr>
          <w:lang w:val="fr-FR"/>
        </w:rPr>
      </w:pPr>
    </w:p>
    <w:p w14:paraId="71B012E2" w14:textId="380DCB19" w:rsidR="00202094" w:rsidRDefault="008943D7" w:rsidP="00202094">
      <w:pPr>
        <w:jc w:val="both"/>
      </w:pPr>
      <w:r>
        <w:tab/>
        <w:t>Aufgrund der Stellungnahme der Datenschutzbehörde vom 16. Juni 2025;</w:t>
      </w:r>
    </w:p>
    <w:p w14:paraId="0AE5A828" w14:textId="28DC4493" w:rsidR="008943D7" w:rsidRPr="00202094" w:rsidRDefault="008943D7" w:rsidP="00202094">
      <w:pPr>
        <w:jc w:val="both"/>
        <w:rPr>
          <w:lang w:val="fr-FR"/>
        </w:rPr>
      </w:pPr>
    </w:p>
    <w:p w14:paraId="0AD1665C" w14:textId="575BBA58" w:rsidR="00202094" w:rsidRDefault="008943D7" w:rsidP="00202094">
      <w:pPr>
        <w:jc w:val="both"/>
      </w:pPr>
      <w:r>
        <w:tab/>
        <w:t>Aufgrund des Gutachtens Nr. 77.969/2 des Staatsrates vom 4. August 2025, abgegeben in Anwendung von Artikel 84 § 1 Absatz 1 Nr. 2 der koordinierten Gesetze über den Staatsrat;</w:t>
      </w:r>
    </w:p>
    <w:p w14:paraId="1E508D73" w14:textId="77777777" w:rsidR="00202094" w:rsidRPr="00EB15B6" w:rsidRDefault="00202094" w:rsidP="00202094">
      <w:pPr>
        <w:jc w:val="both"/>
      </w:pPr>
    </w:p>
    <w:p w14:paraId="134F26D5" w14:textId="64862761" w:rsidR="00202094" w:rsidRDefault="008943D7" w:rsidP="00202094">
      <w:pPr>
        <w:jc w:val="both"/>
      </w:pPr>
      <w:r>
        <w:tab/>
        <w:t>Auf Vorschlag der Ministerin der Justiz</w:t>
      </w:r>
    </w:p>
    <w:p w14:paraId="15F40585" w14:textId="77777777" w:rsidR="008943D7" w:rsidRPr="00EB15B6" w:rsidRDefault="008943D7" w:rsidP="00202094">
      <w:pPr>
        <w:jc w:val="both"/>
      </w:pPr>
    </w:p>
    <w:p w14:paraId="6C181438" w14:textId="77777777" w:rsidR="008943D7" w:rsidRPr="00EB15B6" w:rsidRDefault="008943D7" w:rsidP="00202094">
      <w:pPr>
        <w:jc w:val="both"/>
      </w:pPr>
    </w:p>
    <w:p w14:paraId="5E9179BE" w14:textId="2E400DA4" w:rsidR="00202094" w:rsidRDefault="008943D7" w:rsidP="00202094">
      <w:pPr>
        <w:jc w:val="both"/>
      </w:pPr>
      <w:r>
        <w:tab/>
      </w:r>
      <w:r>
        <w:tab/>
        <w:t>Haben Wir beschlossen und erlassen Wir:</w:t>
      </w:r>
    </w:p>
    <w:p w14:paraId="534522DA" w14:textId="77777777" w:rsidR="008943D7" w:rsidRPr="00EB15B6" w:rsidRDefault="008943D7" w:rsidP="00202094">
      <w:pPr>
        <w:jc w:val="both"/>
      </w:pPr>
    </w:p>
    <w:p w14:paraId="0DF848FD" w14:textId="77777777" w:rsidR="00202094" w:rsidRPr="00EB15B6" w:rsidRDefault="00202094" w:rsidP="00202094">
      <w:pPr>
        <w:jc w:val="both"/>
      </w:pPr>
    </w:p>
    <w:p w14:paraId="0914D905" w14:textId="5D1D05CA" w:rsidR="00202094" w:rsidRDefault="008943D7" w:rsidP="00202094">
      <w:pPr>
        <w:jc w:val="both"/>
      </w:pPr>
      <w:r>
        <w:tab/>
      </w:r>
      <w:r>
        <w:rPr>
          <w:b/>
        </w:rPr>
        <w:t>Artikel 1 -</w:t>
      </w:r>
      <w:r>
        <w:t xml:space="preserve"> In der Überschrift des Königlichen Erlasses vom 14. Juni 2017 zur Ausführung der Artikel 32</w:t>
      </w:r>
      <w:r>
        <w:rPr>
          <w:i/>
          <w:iCs/>
        </w:rPr>
        <w:t>quater</w:t>
      </w:r>
      <w:r>
        <w:t>/1 § 1 und 32</w:t>
      </w:r>
      <w:r>
        <w:rPr>
          <w:i/>
          <w:iCs/>
        </w:rPr>
        <w:t>quater</w:t>
      </w:r>
      <w:r>
        <w:t>/2 §§ 1 und 6 des Gerichtsgesetzbuches werden die Wörter "§§ 1 und 6" durch die Wörter "§ 1, § 3 Absatz 2 und § 6" ersetzt.</w:t>
      </w:r>
    </w:p>
    <w:p w14:paraId="24046A2F" w14:textId="77777777" w:rsidR="008943D7" w:rsidRPr="00EB15B6" w:rsidRDefault="008943D7" w:rsidP="00202094">
      <w:pPr>
        <w:jc w:val="both"/>
      </w:pPr>
    </w:p>
    <w:p w14:paraId="7FD656C0" w14:textId="77777777" w:rsidR="00202094" w:rsidRPr="00EB15B6" w:rsidRDefault="00202094" w:rsidP="00202094">
      <w:pPr>
        <w:jc w:val="both"/>
      </w:pPr>
    </w:p>
    <w:p w14:paraId="5CCAFDF5" w14:textId="5DF0A981" w:rsidR="00202094" w:rsidRDefault="008943D7" w:rsidP="00202094">
      <w:pPr>
        <w:jc w:val="both"/>
      </w:pPr>
      <w:r>
        <w:tab/>
      </w:r>
      <w:r>
        <w:rPr>
          <w:b/>
        </w:rPr>
        <w:t>Art. 2</w:t>
      </w:r>
      <w:r>
        <w:t> - Artikel 14 desselben Erlasses, abgeändert durch den Königlichen Erlass vom 28. November 2021, wird durch die Nummern 9, 10, 11, 12, 13, 14, 15, 16, 17 und 18 mit folgendem Wortlaut ergänzt:</w:t>
      </w:r>
    </w:p>
    <w:p w14:paraId="45519ED3" w14:textId="77777777" w:rsidR="008943D7" w:rsidRPr="00EB15B6" w:rsidRDefault="008943D7" w:rsidP="00202094">
      <w:pPr>
        <w:jc w:val="both"/>
      </w:pPr>
    </w:p>
    <w:p w14:paraId="727D83BB" w14:textId="30381AA6" w:rsidR="00202094" w:rsidRDefault="008943D7" w:rsidP="00202094">
      <w:pPr>
        <w:jc w:val="both"/>
      </w:pPr>
      <w:r>
        <w:tab/>
        <w:t>"9. einmalige Aktennummer des beurkundenden Gerichtsvollziehers,</w:t>
      </w:r>
    </w:p>
    <w:p w14:paraId="3C7971F2" w14:textId="77777777" w:rsidR="008943D7" w:rsidRPr="00EB15B6" w:rsidRDefault="008943D7" w:rsidP="00202094">
      <w:pPr>
        <w:jc w:val="both"/>
      </w:pPr>
    </w:p>
    <w:p w14:paraId="54339412" w14:textId="67993FBB" w:rsidR="00202094" w:rsidRDefault="008943D7" w:rsidP="00202094">
      <w:pPr>
        <w:jc w:val="both"/>
      </w:pPr>
      <w:r>
        <w:tab/>
        <w:t>10. vom Register automatisch generierte einmalige Kennnummer der betreffenden Urkunde,</w:t>
      </w:r>
    </w:p>
    <w:p w14:paraId="0A990210" w14:textId="77777777" w:rsidR="008943D7" w:rsidRPr="00EB15B6" w:rsidRDefault="008943D7" w:rsidP="00202094">
      <w:pPr>
        <w:jc w:val="both"/>
      </w:pPr>
    </w:p>
    <w:p w14:paraId="59C4492F" w14:textId="27BB471D" w:rsidR="00202094" w:rsidRDefault="008943D7" w:rsidP="00202094">
      <w:pPr>
        <w:jc w:val="both"/>
      </w:pPr>
      <w:r>
        <w:tab/>
        <w:t>11. Datum und Zeitpunkt der Erstellung der Urkunde,</w:t>
      </w:r>
    </w:p>
    <w:p w14:paraId="68148D65" w14:textId="77777777" w:rsidR="008943D7" w:rsidRPr="00EB15B6" w:rsidRDefault="008943D7" w:rsidP="00202094">
      <w:pPr>
        <w:jc w:val="both"/>
      </w:pPr>
    </w:p>
    <w:p w14:paraId="5A387753" w14:textId="1EB083B2" w:rsidR="00202094" w:rsidRDefault="008943D7" w:rsidP="00202094">
      <w:pPr>
        <w:jc w:val="both"/>
      </w:pPr>
      <w:r>
        <w:tab/>
        <w:t>12. gegebenenfalls Datum der gütlichen Erledigung im Sinne von Artikel 519 § 4 des Gerichtsgesetzbuches,</w:t>
      </w:r>
    </w:p>
    <w:p w14:paraId="7B23E140" w14:textId="77777777" w:rsidR="008943D7" w:rsidRPr="00EB15B6" w:rsidRDefault="008943D7" w:rsidP="00202094">
      <w:pPr>
        <w:jc w:val="both"/>
      </w:pPr>
    </w:p>
    <w:p w14:paraId="43469088" w14:textId="512A5439" w:rsidR="00202094" w:rsidRDefault="008943D7" w:rsidP="00202094">
      <w:pPr>
        <w:jc w:val="both"/>
      </w:pPr>
      <w:r>
        <w:tab/>
        <w:t>13. gegebenenfalls einmalige Kenndaten des Gerichts,</w:t>
      </w:r>
    </w:p>
    <w:p w14:paraId="45B70C41" w14:textId="77777777" w:rsidR="008943D7" w:rsidRPr="00EB15B6" w:rsidRDefault="008943D7" w:rsidP="00202094">
      <w:pPr>
        <w:jc w:val="both"/>
      </w:pPr>
    </w:p>
    <w:p w14:paraId="05238208" w14:textId="49D5549C" w:rsidR="00202094" w:rsidRDefault="008943D7" w:rsidP="00202094">
      <w:pPr>
        <w:jc w:val="both"/>
      </w:pPr>
      <w:r>
        <w:tab/>
        <w:t>14. gegebenenfalls den beigetriebenen Betrag,</w:t>
      </w:r>
    </w:p>
    <w:p w14:paraId="7CEC87CD" w14:textId="77777777" w:rsidR="008943D7" w:rsidRPr="00EB15B6" w:rsidRDefault="008943D7" w:rsidP="00202094">
      <w:pPr>
        <w:jc w:val="both"/>
      </w:pPr>
    </w:p>
    <w:p w14:paraId="3E403177" w14:textId="51531F76" w:rsidR="00202094" w:rsidRDefault="008943D7" w:rsidP="00202094">
      <w:pPr>
        <w:jc w:val="both"/>
      </w:pPr>
      <w:r>
        <w:tab/>
        <w:t>15. gegebenenfalls Antrag und Referenzangabe in Bezug auf die Beteiligung des in Artikel 555/1</w:t>
      </w:r>
      <w:r>
        <w:rPr>
          <w:i/>
          <w:iCs/>
        </w:rPr>
        <w:t>ter</w:t>
      </w:r>
      <w:r>
        <w:t xml:space="preserve"> des Gerichtsgesetzbuches erwähnten Solidaritätsfonds der Nationalen Gerichtsvollzieherkammer,</w:t>
      </w:r>
    </w:p>
    <w:p w14:paraId="575367E4" w14:textId="77777777" w:rsidR="008943D7" w:rsidRPr="00EB15B6" w:rsidRDefault="008943D7" w:rsidP="00202094">
      <w:pPr>
        <w:jc w:val="both"/>
      </w:pPr>
    </w:p>
    <w:p w14:paraId="3FB683CA" w14:textId="1291F6D3" w:rsidR="00202094" w:rsidRDefault="008943D7" w:rsidP="00202094">
      <w:pPr>
        <w:jc w:val="both"/>
      </w:pPr>
      <w:r>
        <w:tab/>
        <w:t>16. gegebenenfalls äußerste Dringlichkeit,</w:t>
      </w:r>
    </w:p>
    <w:p w14:paraId="70A966FC" w14:textId="77777777" w:rsidR="008943D7" w:rsidRPr="00EB15B6" w:rsidRDefault="008943D7" w:rsidP="00202094">
      <w:pPr>
        <w:jc w:val="both"/>
      </w:pPr>
    </w:p>
    <w:p w14:paraId="57EAA2E4" w14:textId="308CB2AC" w:rsidR="00202094" w:rsidRDefault="008943D7" w:rsidP="00202094">
      <w:pPr>
        <w:jc w:val="both"/>
      </w:pPr>
      <w:r>
        <w:tab/>
        <w:t>17. gegebenenfalls Anwendung des angepassten Tarifs aufgrund von außerhalb der normalen Arbeitszeiten vorgenommenen Verrichtungen,</w:t>
      </w:r>
    </w:p>
    <w:p w14:paraId="7F27EACE" w14:textId="77777777" w:rsidR="008943D7" w:rsidRPr="00EB15B6" w:rsidRDefault="008943D7" w:rsidP="00202094">
      <w:pPr>
        <w:jc w:val="both"/>
      </w:pPr>
    </w:p>
    <w:p w14:paraId="5F77DBBE" w14:textId="461340BC" w:rsidR="00202094" w:rsidRDefault="008943D7" w:rsidP="00202094">
      <w:pPr>
        <w:jc w:val="both"/>
      </w:pPr>
      <w:r>
        <w:tab/>
        <w:t>18. einmalige Kenndaten der zentralisierenden Amtsstube des Gerichtsvollziehers."</w:t>
      </w:r>
    </w:p>
    <w:p w14:paraId="0D5F85B0" w14:textId="77777777" w:rsidR="008943D7" w:rsidRPr="00EB15B6" w:rsidRDefault="008943D7" w:rsidP="00202094">
      <w:pPr>
        <w:jc w:val="both"/>
      </w:pPr>
    </w:p>
    <w:p w14:paraId="1435FCD7" w14:textId="77777777" w:rsidR="00202094" w:rsidRPr="00EB15B6" w:rsidRDefault="00202094" w:rsidP="00202094">
      <w:pPr>
        <w:jc w:val="both"/>
      </w:pPr>
    </w:p>
    <w:p w14:paraId="76317E66" w14:textId="4F43BFA4" w:rsidR="00202094" w:rsidRDefault="008943D7" w:rsidP="00202094">
      <w:pPr>
        <w:jc w:val="both"/>
      </w:pPr>
      <w:r>
        <w:tab/>
      </w:r>
      <w:r>
        <w:rPr>
          <w:b/>
        </w:rPr>
        <w:t>Art. 3</w:t>
      </w:r>
      <w:r>
        <w:t> - In denselben Erlass wird ein Artikel 14/1 mit folgendem Wortlaut eingefügt:</w:t>
      </w:r>
    </w:p>
    <w:p w14:paraId="47708689" w14:textId="77777777" w:rsidR="008943D7" w:rsidRPr="00EB15B6" w:rsidRDefault="008943D7" w:rsidP="00202094">
      <w:pPr>
        <w:jc w:val="both"/>
      </w:pPr>
    </w:p>
    <w:p w14:paraId="63CAF508" w14:textId="5092E65D" w:rsidR="00202094" w:rsidRDefault="008943D7" w:rsidP="00202094">
      <w:pPr>
        <w:jc w:val="both"/>
      </w:pPr>
      <w:r>
        <w:tab/>
        <w:t>"Art. 14/1 - In diesem Register werden folgende Daten in Bezug auf nicht zugestellte Urkunden registriert:</w:t>
      </w:r>
    </w:p>
    <w:p w14:paraId="425B3E73" w14:textId="77777777" w:rsidR="008943D7" w:rsidRPr="00EB15B6" w:rsidRDefault="008943D7" w:rsidP="00202094">
      <w:pPr>
        <w:jc w:val="both"/>
      </w:pPr>
    </w:p>
    <w:p w14:paraId="7C2715FC" w14:textId="6D3FB372" w:rsidR="00202094" w:rsidRDefault="008943D7" w:rsidP="00202094">
      <w:pPr>
        <w:jc w:val="both"/>
      </w:pPr>
      <w:r>
        <w:tab/>
        <w:t>1. Datum und Zeitpunkt der Unterzeichnung der Urkunde,</w:t>
      </w:r>
    </w:p>
    <w:p w14:paraId="47B3C736" w14:textId="77777777" w:rsidR="008943D7" w:rsidRPr="00EB15B6" w:rsidRDefault="008943D7" w:rsidP="00202094">
      <w:pPr>
        <w:jc w:val="both"/>
      </w:pPr>
    </w:p>
    <w:p w14:paraId="02835BD6" w14:textId="1FDC6B3D" w:rsidR="00202094" w:rsidRDefault="008943D7" w:rsidP="00202094">
      <w:pPr>
        <w:jc w:val="both"/>
      </w:pPr>
      <w:r>
        <w:tab/>
        <w:t>2. Name, Vorname und Adresse der Amtsstube des Gerichtsvollziehers, der die Urkunde hinterlegt hat,</w:t>
      </w:r>
    </w:p>
    <w:p w14:paraId="47E470A8" w14:textId="77777777" w:rsidR="008943D7" w:rsidRPr="00EB15B6" w:rsidRDefault="008943D7" w:rsidP="00202094">
      <w:pPr>
        <w:jc w:val="both"/>
      </w:pPr>
    </w:p>
    <w:p w14:paraId="0466DAD1" w14:textId="074EB6F9" w:rsidR="00202094" w:rsidRDefault="008943D7" w:rsidP="00202094">
      <w:pPr>
        <w:jc w:val="both"/>
      </w:pPr>
      <w:r>
        <w:tab/>
        <w:t>3. Betrag der Kosten und Zusammensetzung dieses Betrags,</w:t>
      </w:r>
    </w:p>
    <w:p w14:paraId="0BAB02FE" w14:textId="77777777" w:rsidR="008943D7" w:rsidRPr="00EB15B6" w:rsidRDefault="008943D7" w:rsidP="00202094">
      <w:pPr>
        <w:jc w:val="both"/>
      </w:pPr>
    </w:p>
    <w:p w14:paraId="56D726E2" w14:textId="4CF1C1D5" w:rsidR="008943D7" w:rsidRDefault="008943D7" w:rsidP="00202094">
      <w:pPr>
        <w:jc w:val="both"/>
      </w:pPr>
      <w:r>
        <w:tab/>
        <w:t>4. digitale Abschrift der Urkunde, die hinterlegt wurde,</w:t>
      </w:r>
    </w:p>
    <w:p w14:paraId="026BC0F6" w14:textId="77777777" w:rsidR="008943D7" w:rsidRPr="00EB15B6" w:rsidRDefault="008943D7" w:rsidP="00202094">
      <w:pPr>
        <w:jc w:val="both"/>
      </w:pPr>
    </w:p>
    <w:p w14:paraId="0B3B0238" w14:textId="53BED20C" w:rsidR="00202094" w:rsidRDefault="008943D7" w:rsidP="00202094">
      <w:pPr>
        <w:jc w:val="both"/>
      </w:pPr>
      <w:r>
        <w:tab/>
        <w:t>5. Angabe, welche Art von Urkunde hinterlegt wurde,</w:t>
      </w:r>
    </w:p>
    <w:p w14:paraId="6BA5892C" w14:textId="77777777" w:rsidR="008943D7" w:rsidRPr="00EB15B6" w:rsidRDefault="008943D7" w:rsidP="00202094">
      <w:pPr>
        <w:jc w:val="both"/>
      </w:pPr>
    </w:p>
    <w:p w14:paraId="71D0CEF8" w14:textId="117B5398" w:rsidR="00202094" w:rsidRDefault="008943D7" w:rsidP="00202094">
      <w:pPr>
        <w:jc w:val="both"/>
      </w:pPr>
      <w:r>
        <w:tab/>
        <w:t>6. in Bezug auf den/die Auftraggeber: Name, Vorname und Nationalregisternummer oder Bis-Registernummer, wenn es eine natürliche Person betrifft, und Unternehmensname, Unternehmensform, Gesellschaftssitz oder Betriebssitz und Eintragungsnummer bei der Zentralen Datenbank der Unternehmen, wenn es eine juristische Person betrifft,</w:t>
      </w:r>
    </w:p>
    <w:p w14:paraId="6CFA4A14" w14:textId="77777777" w:rsidR="008943D7" w:rsidRPr="00EB15B6" w:rsidRDefault="008943D7" w:rsidP="00202094">
      <w:pPr>
        <w:jc w:val="both"/>
      </w:pPr>
    </w:p>
    <w:p w14:paraId="72A0FBDF" w14:textId="246BE6D3" w:rsidR="00202094" w:rsidRDefault="008943D7" w:rsidP="00202094">
      <w:pPr>
        <w:jc w:val="both"/>
      </w:pPr>
      <w:r>
        <w:tab/>
        <w:t>7. gegebenenfalls in Bezug auf den Adressaten: Name, Vorname, Nationalregisternummer oder Bis-Registernummer und Adresse, wenn es eine natürliche Person betrifft, und Unternehmensname, Unternehmensform, Gesellschaftssitz oder Betriebssitz und Eintragungsnummer bei der Zentralen Datenbank der Unternehmen, wenn es eine juristische Person betrifft,</w:t>
      </w:r>
    </w:p>
    <w:p w14:paraId="6E3E3138" w14:textId="77777777" w:rsidR="008943D7" w:rsidRPr="00EB15B6" w:rsidRDefault="008943D7" w:rsidP="00202094">
      <w:pPr>
        <w:jc w:val="both"/>
      </w:pPr>
    </w:p>
    <w:p w14:paraId="24EB9CEA" w14:textId="73058A6A" w:rsidR="00202094" w:rsidRDefault="008943D7" w:rsidP="00202094">
      <w:pPr>
        <w:jc w:val="both"/>
      </w:pPr>
      <w:r>
        <w:tab/>
        <w:t>8. einmalige Aktennummer des beurkundenden Gerichtsvollziehers,</w:t>
      </w:r>
    </w:p>
    <w:p w14:paraId="1AC3C7FD" w14:textId="77777777" w:rsidR="008943D7" w:rsidRPr="00EB15B6" w:rsidRDefault="008943D7" w:rsidP="00202094">
      <w:pPr>
        <w:jc w:val="both"/>
      </w:pPr>
    </w:p>
    <w:p w14:paraId="7DEF7D11" w14:textId="477EEE8E" w:rsidR="00202094" w:rsidRDefault="008943D7" w:rsidP="00202094">
      <w:pPr>
        <w:jc w:val="both"/>
      </w:pPr>
      <w:r>
        <w:lastRenderedPageBreak/>
        <w:tab/>
        <w:t>9. vom Register automatisch generierte einmalige Kennnummer der betreffenden Urkunde,</w:t>
      </w:r>
    </w:p>
    <w:p w14:paraId="7446258E" w14:textId="77777777" w:rsidR="008943D7" w:rsidRPr="00EB15B6" w:rsidRDefault="008943D7" w:rsidP="00202094">
      <w:pPr>
        <w:jc w:val="both"/>
      </w:pPr>
    </w:p>
    <w:p w14:paraId="679E00FD" w14:textId="098C6D7A" w:rsidR="00202094" w:rsidRDefault="008943D7" w:rsidP="00202094">
      <w:pPr>
        <w:jc w:val="both"/>
      </w:pPr>
      <w:r>
        <w:tab/>
        <w:t>10. Datum und Zeitpunkt der Erstellung der Urkunde,</w:t>
      </w:r>
    </w:p>
    <w:p w14:paraId="0F185463" w14:textId="77777777" w:rsidR="008943D7" w:rsidRPr="00EB15B6" w:rsidRDefault="008943D7" w:rsidP="00202094">
      <w:pPr>
        <w:jc w:val="both"/>
      </w:pPr>
    </w:p>
    <w:p w14:paraId="3398E804" w14:textId="2ABA0E98" w:rsidR="00202094" w:rsidRDefault="008943D7" w:rsidP="00202094">
      <w:pPr>
        <w:jc w:val="both"/>
      </w:pPr>
      <w:r>
        <w:tab/>
        <w:t>11. gegebenenfalls Datum der gütlichen Erledigung,</w:t>
      </w:r>
    </w:p>
    <w:p w14:paraId="1BBBE757" w14:textId="77777777" w:rsidR="008943D7" w:rsidRPr="00EB15B6" w:rsidRDefault="008943D7" w:rsidP="00202094">
      <w:pPr>
        <w:jc w:val="both"/>
      </w:pPr>
    </w:p>
    <w:p w14:paraId="0C09AFD5" w14:textId="595DEB98" w:rsidR="00202094" w:rsidRDefault="008943D7" w:rsidP="00202094">
      <w:pPr>
        <w:jc w:val="both"/>
      </w:pPr>
      <w:r>
        <w:tab/>
        <w:t>12. gegebenenfalls einmalige Kenndaten des Gerichts,</w:t>
      </w:r>
    </w:p>
    <w:p w14:paraId="1B89DE6E" w14:textId="77777777" w:rsidR="008943D7" w:rsidRPr="00EB15B6" w:rsidRDefault="008943D7" w:rsidP="00202094">
      <w:pPr>
        <w:jc w:val="both"/>
      </w:pPr>
    </w:p>
    <w:p w14:paraId="6AAB31B4" w14:textId="47DAA4E3" w:rsidR="00202094" w:rsidRDefault="008943D7" w:rsidP="00202094">
      <w:pPr>
        <w:jc w:val="both"/>
      </w:pPr>
      <w:r>
        <w:tab/>
        <w:t>13. gegebenenfalls den beigetriebenen Betrag,</w:t>
      </w:r>
    </w:p>
    <w:p w14:paraId="2278A482" w14:textId="77777777" w:rsidR="008943D7" w:rsidRPr="00EB15B6" w:rsidRDefault="008943D7" w:rsidP="00202094">
      <w:pPr>
        <w:jc w:val="both"/>
      </w:pPr>
    </w:p>
    <w:p w14:paraId="449EB07D" w14:textId="7C13CDC7" w:rsidR="00202094" w:rsidRDefault="008943D7" w:rsidP="00202094">
      <w:pPr>
        <w:jc w:val="both"/>
      </w:pPr>
      <w:r>
        <w:tab/>
        <w:t>14. gegebenenfalls Antrag und Referenzangabe in Bezug auf die Beteiligung des in Artikel 555/1</w:t>
      </w:r>
      <w:r>
        <w:rPr>
          <w:i/>
          <w:iCs/>
        </w:rPr>
        <w:t>ter</w:t>
      </w:r>
      <w:r>
        <w:t xml:space="preserve"> des Gerichtsgesetzbuches erwähnten Solidaritätsfonds der Nationalen Gerichtsvollzieherkammer,</w:t>
      </w:r>
    </w:p>
    <w:p w14:paraId="4ECB1AD2" w14:textId="77777777" w:rsidR="008943D7" w:rsidRPr="00EB15B6" w:rsidRDefault="008943D7" w:rsidP="00202094">
      <w:pPr>
        <w:jc w:val="both"/>
      </w:pPr>
    </w:p>
    <w:p w14:paraId="16E58D0B" w14:textId="6FFEC855" w:rsidR="00202094" w:rsidRDefault="008943D7" w:rsidP="00202094">
      <w:pPr>
        <w:jc w:val="both"/>
      </w:pPr>
      <w:r>
        <w:tab/>
        <w:t>15. gegebenenfalls äußerste Dringlichkeit,</w:t>
      </w:r>
    </w:p>
    <w:p w14:paraId="05952F1B" w14:textId="77777777" w:rsidR="008943D7" w:rsidRPr="00EB15B6" w:rsidRDefault="008943D7" w:rsidP="00202094">
      <w:pPr>
        <w:jc w:val="both"/>
      </w:pPr>
    </w:p>
    <w:p w14:paraId="7F60AC78" w14:textId="5058CF6E" w:rsidR="00202094" w:rsidRDefault="008943D7" w:rsidP="00202094">
      <w:pPr>
        <w:jc w:val="both"/>
      </w:pPr>
      <w:r>
        <w:tab/>
        <w:t>16. gegebenenfalls Anwendung des angepassten Tarifs aufgrund von außerhalb der normalen Arbeitszeiten vorgenommenen Verrichtungen,</w:t>
      </w:r>
    </w:p>
    <w:p w14:paraId="6552A569" w14:textId="77777777" w:rsidR="002E0C9F" w:rsidRPr="00EB15B6" w:rsidRDefault="002E0C9F" w:rsidP="00202094">
      <w:pPr>
        <w:jc w:val="both"/>
      </w:pPr>
    </w:p>
    <w:p w14:paraId="3AC570C1" w14:textId="621B4696" w:rsidR="00202094" w:rsidRDefault="002E0C9F" w:rsidP="00202094">
      <w:pPr>
        <w:jc w:val="both"/>
      </w:pPr>
      <w:r>
        <w:tab/>
        <w:t>17. einmalige Kenndaten der zentralisierenden Amtsstube des Gerichtsvollziehers."</w:t>
      </w:r>
    </w:p>
    <w:p w14:paraId="19FD82DD" w14:textId="77777777" w:rsidR="002E0C9F" w:rsidRPr="00EB15B6" w:rsidRDefault="002E0C9F" w:rsidP="00202094">
      <w:pPr>
        <w:jc w:val="both"/>
      </w:pPr>
    </w:p>
    <w:p w14:paraId="43836B03" w14:textId="77777777" w:rsidR="00202094" w:rsidRPr="00EB15B6" w:rsidRDefault="00202094" w:rsidP="00202094">
      <w:pPr>
        <w:jc w:val="both"/>
      </w:pPr>
    </w:p>
    <w:p w14:paraId="23AD3632" w14:textId="3E872D54" w:rsidR="00202094" w:rsidRDefault="002E0C9F" w:rsidP="00202094">
      <w:pPr>
        <w:jc w:val="both"/>
      </w:pPr>
      <w:r>
        <w:tab/>
      </w:r>
      <w:r>
        <w:rPr>
          <w:b/>
        </w:rPr>
        <w:t>Art. 4</w:t>
      </w:r>
      <w:r>
        <w:t> - In denselben Erlass wird ein Kapitel 5/1 mit folgendem Wortlaut eingefügt:</w:t>
      </w:r>
    </w:p>
    <w:p w14:paraId="315C1958" w14:textId="77777777" w:rsidR="002E0C9F" w:rsidRPr="00EB15B6" w:rsidRDefault="002E0C9F" w:rsidP="00202094">
      <w:pPr>
        <w:jc w:val="both"/>
      </w:pPr>
    </w:p>
    <w:p w14:paraId="4704E96A" w14:textId="145CCDA5" w:rsidR="00202094" w:rsidRDefault="002E0C9F" w:rsidP="00202094">
      <w:pPr>
        <w:jc w:val="both"/>
      </w:pPr>
      <w:r>
        <w:tab/>
        <w:t>"KAPITEL 5/1 - Kenntnisnahme eigener Urkunden".</w:t>
      </w:r>
    </w:p>
    <w:p w14:paraId="78251388" w14:textId="77777777" w:rsidR="002E0C9F" w:rsidRPr="00EB15B6" w:rsidRDefault="002E0C9F" w:rsidP="00202094">
      <w:pPr>
        <w:jc w:val="both"/>
      </w:pPr>
    </w:p>
    <w:p w14:paraId="227B6BC4" w14:textId="77777777" w:rsidR="00202094" w:rsidRPr="00EB15B6" w:rsidRDefault="00202094" w:rsidP="00202094">
      <w:pPr>
        <w:jc w:val="both"/>
      </w:pPr>
    </w:p>
    <w:p w14:paraId="73E1F306" w14:textId="66D6F6B0" w:rsidR="00202094" w:rsidRDefault="002E0C9F" w:rsidP="00202094">
      <w:pPr>
        <w:jc w:val="both"/>
      </w:pPr>
      <w:r>
        <w:tab/>
      </w:r>
      <w:r>
        <w:rPr>
          <w:b/>
        </w:rPr>
        <w:t>Art. 5</w:t>
      </w:r>
      <w:r>
        <w:t> - In Kapitel 5/1 desselben Erlasses, eingefügt durch Artikel 4, wird ein Artikel 14/2 mit folgendem Wortlaut eingefügt:</w:t>
      </w:r>
    </w:p>
    <w:p w14:paraId="48F4AB91" w14:textId="77777777" w:rsidR="002E0C9F" w:rsidRPr="00EB15B6" w:rsidRDefault="002E0C9F" w:rsidP="00202094">
      <w:pPr>
        <w:jc w:val="both"/>
      </w:pPr>
    </w:p>
    <w:p w14:paraId="3E352F8E" w14:textId="1D6BB0BF" w:rsidR="00202094" w:rsidRDefault="002E0C9F" w:rsidP="00202094">
      <w:pPr>
        <w:jc w:val="both"/>
      </w:pPr>
      <w:r>
        <w:tab/>
        <w:t>"Art. 14/2 - § 1 - Die Nationale Gerichtsvollzieherkammer identifiziert und authentifiziert bei Konsultierungsanträgen aufgrund von Artikel 32</w:t>
      </w:r>
      <w:r>
        <w:rPr>
          <w:i/>
          <w:iCs/>
        </w:rPr>
        <w:t>quater</w:t>
      </w:r>
      <w:r>
        <w:t>/2 § 3 Absatz 2 des Gerichtsgesetzbuches zuvor den Antragsteller. Aus Identifizierung und Authentifizierung muss unmissverständlich hervorgehen, dass der Antragsteller berechtigt ist, die beantragten Informationen zu erhalten. Gegebenenfalls verhindert die Nationale Gerichtsvollzieherkammer die Konsultierung. Zudem ergreift sie geeignete Maßnahmen, um sicherzustellen, dass die Informationen in einer Weise beantragt und übermittelt werden, die ein angemessenes Sicherheitsniveau gewährleistet.</w:t>
      </w:r>
    </w:p>
    <w:p w14:paraId="3E3C8E60" w14:textId="77777777" w:rsidR="002E0C9F" w:rsidRPr="00EB15B6" w:rsidRDefault="002E0C9F" w:rsidP="00202094">
      <w:pPr>
        <w:jc w:val="both"/>
      </w:pPr>
    </w:p>
    <w:p w14:paraId="196E3687" w14:textId="0496437E" w:rsidR="00202094" w:rsidRDefault="002E0C9F" w:rsidP="00202094">
      <w:pPr>
        <w:jc w:val="both"/>
      </w:pPr>
      <w:r>
        <w:tab/>
        <w:t>§ 2 - Die in § 1 erwähnte Identifizierung und Authentifizierung erfordern die Verarbeitung folgender Daten:</w:t>
      </w:r>
    </w:p>
    <w:p w14:paraId="2CAC0A15" w14:textId="77777777" w:rsidR="002E0C9F" w:rsidRPr="00EB15B6" w:rsidRDefault="002E0C9F" w:rsidP="00202094">
      <w:pPr>
        <w:jc w:val="both"/>
      </w:pPr>
    </w:p>
    <w:p w14:paraId="342E87A6" w14:textId="023598BB" w:rsidR="00202094" w:rsidRDefault="002E0C9F" w:rsidP="00202094">
      <w:pPr>
        <w:jc w:val="both"/>
      </w:pPr>
      <w:r>
        <w:tab/>
        <w:t>1. für natürliche Personen:</w:t>
      </w:r>
    </w:p>
    <w:p w14:paraId="396DBD89" w14:textId="77777777" w:rsidR="002E0C9F" w:rsidRPr="00EB15B6" w:rsidRDefault="002E0C9F" w:rsidP="00202094">
      <w:pPr>
        <w:jc w:val="both"/>
      </w:pPr>
    </w:p>
    <w:p w14:paraId="7816C464" w14:textId="420D049D" w:rsidR="00202094" w:rsidRDefault="002E0C9F" w:rsidP="00202094">
      <w:pPr>
        <w:jc w:val="both"/>
      </w:pPr>
      <w:r>
        <w:tab/>
      </w:r>
      <w:r>
        <w:rPr>
          <w:i/>
          <w:iCs/>
        </w:rPr>
        <w:t>a)</w:t>
      </w:r>
      <w:r>
        <w:t> Name und Vorname(n),</w:t>
      </w:r>
    </w:p>
    <w:p w14:paraId="5349F61B" w14:textId="77777777" w:rsidR="002E0C9F" w:rsidRPr="00EB15B6" w:rsidRDefault="002E0C9F" w:rsidP="00202094">
      <w:pPr>
        <w:jc w:val="both"/>
      </w:pPr>
    </w:p>
    <w:p w14:paraId="1C792F69" w14:textId="494C6EE9" w:rsidR="00202094" w:rsidRDefault="002E0C9F" w:rsidP="00202094">
      <w:pPr>
        <w:jc w:val="both"/>
      </w:pPr>
      <w:r>
        <w:tab/>
      </w:r>
      <w:r>
        <w:rPr>
          <w:i/>
        </w:rPr>
        <w:t>b)</w:t>
      </w:r>
      <w:r>
        <w:t> Wohnsitz,</w:t>
      </w:r>
    </w:p>
    <w:p w14:paraId="2067E619" w14:textId="77777777" w:rsidR="002E0C9F" w:rsidRPr="00EB15B6" w:rsidRDefault="002E0C9F" w:rsidP="00202094">
      <w:pPr>
        <w:jc w:val="both"/>
      </w:pPr>
    </w:p>
    <w:p w14:paraId="701C8504" w14:textId="72E49711" w:rsidR="00202094" w:rsidRDefault="002E0C9F" w:rsidP="00202094">
      <w:pPr>
        <w:jc w:val="both"/>
      </w:pPr>
      <w:r>
        <w:tab/>
      </w:r>
      <w:r>
        <w:rPr>
          <w:i/>
          <w:iCs/>
        </w:rPr>
        <w:t>c)</w:t>
      </w:r>
      <w:r>
        <w:t> Geburtsdatum und -ort,</w:t>
      </w:r>
    </w:p>
    <w:p w14:paraId="5C7114BF" w14:textId="77777777" w:rsidR="002E0C9F" w:rsidRPr="00EB15B6" w:rsidRDefault="002E0C9F" w:rsidP="00202094">
      <w:pPr>
        <w:jc w:val="both"/>
      </w:pPr>
    </w:p>
    <w:p w14:paraId="1127DB4C" w14:textId="5A6DA829" w:rsidR="00202094" w:rsidRDefault="002E0C9F" w:rsidP="00202094">
      <w:pPr>
        <w:jc w:val="both"/>
      </w:pPr>
      <w:r>
        <w:tab/>
      </w:r>
      <w:r>
        <w:rPr>
          <w:i/>
          <w:iCs/>
        </w:rPr>
        <w:t>d)</w:t>
      </w:r>
      <w:r>
        <w:t> gegebenenfalls Nationalregisternummer oder Bis-Registernummer,</w:t>
      </w:r>
    </w:p>
    <w:p w14:paraId="12F4E8AA" w14:textId="77777777" w:rsidR="002E0C9F" w:rsidRPr="00EB15B6" w:rsidRDefault="002E0C9F" w:rsidP="00202094">
      <w:pPr>
        <w:jc w:val="both"/>
      </w:pPr>
    </w:p>
    <w:p w14:paraId="4114BB5D" w14:textId="353E1DEB" w:rsidR="00202094" w:rsidRDefault="002E0C9F" w:rsidP="00202094">
      <w:pPr>
        <w:jc w:val="both"/>
      </w:pPr>
      <w:r>
        <w:tab/>
      </w:r>
      <w:r>
        <w:rPr>
          <w:i/>
          <w:iCs/>
        </w:rPr>
        <w:t>e)</w:t>
      </w:r>
      <w:r>
        <w:t> gegebenenfalls Unternehmensnummer,</w:t>
      </w:r>
    </w:p>
    <w:p w14:paraId="6A4A5AC5" w14:textId="77777777" w:rsidR="002E0C9F" w:rsidRPr="00EB15B6" w:rsidRDefault="002E0C9F" w:rsidP="00202094">
      <w:pPr>
        <w:jc w:val="both"/>
      </w:pPr>
    </w:p>
    <w:p w14:paraId="50F83187" w14:textId="3E10E2F2" w:rsidR="002E0C9F" w:rsidRDefault="002E0C9F" w:rsidP="00202094">
      <w:pPr>
        <w:jc w:val="both"/>
      </w:pPr>
      <w:r>
        <w:tab/>
        <w:t>2. für juristische Personen:</w:t>
      </w:r>
    </w:p>
    <w:p w14:paraId="1568046D" w14:textId="77777777" w:rsidR="002E0C9F" w:rsidRPr="00EB15B6" w:rsidRDefault="002E0C9F" w:rsidP="00202094">
      <w:pPr>
        <w:jc w:val="both"/>
      </w:pPr>
    </w:p>
    <w:p w14:paraId="5C30AB18" w14:textId="04E5BC32" w:rsidR="00202094" w:rsidRDefault="002E0C9F" w:rsidP="00202094">
      <w:pPr>
        <w:jc w:val="both"/>
      </w:pPr>
      <w:r>
        <w:tab/>
      </w:r>
      <w:r>
        <w:rPr>
          <w:i/>
          <w:iCs/>
        </w:rPr>
        <w:t>a)</w:t>
      </w:r>
      <w:r>
        <w:t> Unternehmensname,</w:t>
      </w:r>
    </w:p>
    <w:p w14:paraId="29E7E300" w14:textId="77777777" w:rsidR="002E0C9F" w:rsidRPr="00EB15B6" w:rsidRDefault="002E0C9F" w:rsidP="00202094">
      <w:pPr>
        <w:jc w:val="both"/>
      </w:pPr>
    </w:p>
    <w:p w14:paraId="5220A39D" w14:textId="77F87894" w:rsidR="00202094" w:rsidRDefault="002E0C9F" w:rsidP="00202094">
      <w:pPr>
        <w:jc w:val="both"/>
      </w:pPr>
      <w:r>
        <w:tab/>
      </w:r>
      <w:r>
        <w:rPr>
          <w:i/>
          <w:iCs/>
        </w:rPr>
        <w:t>b)</w:t>
      </w:r>
      <w:r>
        <w:t> Unternehmensnummer,</w:t>
      </w:r>
    </w:p>
    <w:p w14:paraId="59DFB237" w14:textId="77777777" w:rsidR="002E0C9F" w:rsidRPr="00EB15B6" w:rsidRDefault="002E0C9F" w:rsidP="00202094">
      <w:pPr>
        <w:jc w:val="both"/>
      </w:pPr>
    </w:p>
    <w:p w14:paraId="4931AD74" w14:textId="7A88D884" w:rsidR="00202094" w:rsidRDefault="002E0C9F" w:rsidP="00202094">
      <w:pPr>
        <w:jc w:val="both"/>
      </w:pPr>
      <w:r>
        <w:tab/>
      </w:r>
      <w:r>
        <w:rPr>
          <w:i/>
          <w:iCs/>
        </w:rPr>
        <w:t>c)</w:t>
      </w:r>
      <w:r>
        <w:t> gegebenenfalls die in Nr. 1 erwähnten Personalien der natürlichen Person, die den Konsultierungsantrag für die juristische Person einreicht,</w:t>
      </w:r>
    </w:p>
    <w:p w14:paraId="369E06D6" w14:textId="77777777" w:rsidR="002E0C9F" w:rsidRPr="00EB15B6" w:rsidRDefault="002E0C9F" w:rsidP="00202094">
      <w:pPr>
        <w:jc w:val="both"/>
      </w:pPr>
    </w:p>
    <w:p w14:paraId="11D818CE" w14:textId="7542F7AB" w:rsidR="00202094" w:rsidRDefault="002E0C9F" w:rsidP="00202094">
      <w:pPr>
        <w:jc w:val="both"/>
      </w:pPr>
      <w:r>
        <w:tab/>
        <w:t>3. Metadaten, die durch den Konsultierungsantrag generiert werden.</w:t>
      </w:r>
    </w:p>
    <w:p w14:paraId="7CC2487D" w14:textId="77777777" w:rsidR="002E0C9F" w:rsidRPr="00EB15B6" w:rsidRDefault="002E0C9F" w:rsidP="00202094">
      <w:pPr>
        <w:jc w:val="both"/>
      </w:pPr>
    </w:p>
    <w:p w14:paraId="2A3C4C43" w14:textId="57F67E4B" w:rsidR="00202094" w:rsidRDefault="002E0C9F" w:rsidP="00202094">
      <w:pPr>
        <w:jc w:val="both"/>
      </w:pPr>
      <w:r>
        <w:tab/>
        <w:t>Diese Daten werden für eine Dauer von fünf Jahren ab dem Datum des Konsultierungsantrags zu Kontroll- und Statistikzwecken aufbewahrt."</w:t>
      </w:r>
    </w:p>
    <w:p w14:paraId="32AD0DAD" w14:textId="77777777" w:rsidR="002E0C9F" w:rsidRPr="00EB15B6" w:rsidRDefault="002E0C9F" w:rsidP="00202094">
      <w:pPr>
        <w:jc w:val="both"/>
      </w:pPr>
    </w:p>
    <w:p w14:paraId="66466D5F" w14:textId="77777777" w:rsidR="00202094" w:rsidRPr="00EB15B6" w:rsidRDefault="00202094" w:rsidP="00202094">
      <w:pPr>
        <w:jc w:val="both"/>
      </w:pPr>
    </w:p>
    <w:p w14:paraId="36DEB6D8" w14:textId="77A75A05" w:rsidR="00202094" w:rsidRPr="00202094" w:rsidRDefault="002E0C9F" w:rsidP="00202094">
      <w:pPr>
        <w:jc w:val="both"/>
      </w:pPr>
      <w:r>
        <w:tab/>
      </w:r>
      <w:r>
        <w:rPr>
          <w:b/>
        </w:rPr>
        <w:t>Art. 6</w:t>
      </w:r>
      <w:r>
        <w:t xml:space="preserve"> - Vorliegender Erlass tritt am Tag nach dem Tag seiner Veröffentlichung im </w:t>
      </w:r>
      <w:r>
        <w:rPr>
          <w:i/>
        </w:rPr>
        <w:t>Belgischen Staatsblatt</w:t>
      </w:r>
      <w:r>
        <w:t xml:space="preserve"> in Kraft.</w:t>
      </w:r>
    </w:p>
    <w:p w14:paraId="19195470" w14:textId="77777777" w:rsidR="00202094" w:rsidRPr="00EB15B6" w:rsidRDefault="00202094" w:rsidP="00202094">
      <w:pPr>
        <w:jc w:val="both"/>
      </w:pPr>
    </w:p>
    <w:p w14:paraId="20F66976" w14:textId="77777777" w:rsidR="002E0C9F" w:rsidRPr="00EB15B6" w:rsidRDefault="002E0C9F" w:rsidP="00202094">
      <w:pPr>
        <w:jc w:val="both"/>
      </w:pPr>
    </w:p>
    <w:p w14:paraId="7BC9099A" w14:textId="35387FA5" w:rsidR="00202094" w:rsidRPr="00202094" w:rsidRDefault="002E0C9F" w:rsidP="00202094">
      <w:pPr>
        <w:jc w:val="both"/>
      </w:pPr>
      <w:r>
        <w:tab/>
      </w:r>
      <w:r>
        <w:rPr>
          <w:b/>
        </w:rPr>
        <w:t>Art. 7</w:t>
      </w:r>
      <w:r>
        <w:t> - Der für Justiz zuständige Minister ist mit der Ausführung des vorliegenden Erlasses beauftragt.</w:t>
      </w:r>
    </w:p>
    <w:p w14:paraId="6A824CA2" w14:textId="77777777" w:rsidR="00202094" w:rsidRPr="00EB15B6" w:rsidRDefault="00202094" w:rsidP="00202094">
      <w:pPr>
        <w:jc w:val="both"/>
      </w:pPr>
    </w:p>
    <w:p w14:paraId="48079344" w14:textId="77777777" w:rsidR="002E0C9F" w:rsidRPr="00EB15B6" w:rsidRDefault="002E0C9F" w:rsidP="00202094">
      <w:pPr>
        <w:jc w:val="both"/>
      </w:pPr>
    </w:p>
    <w:p w14:paraId="23C2CE13" w14:textId="0171B17A" w:rsidR="00202094" w:rsidRDefault="002E0C9F" w:rsidP="00202094">
      <w:pPr>
        <w:jc w:val="both"/>
      </w:pPr>
      <w:r>
        <w:tab/>
        <w:t>Gegeben zu Brüssel, den 5. September 2025</w:t>
      </w:r>
    </w:p>
    <w:p w14:paraId="2F632E80" w14:textId="77777777" w:rsidR="002E0C9F" w:rsidRPr="00EB15B6" w:rsidRDefault="002E0C9F" w:rsidP="00202094">
      <w:pPr>
        <w:jc w:val="both"/>
      </w:pPr>
    </w:p>
    <w:p w14:paraId="74229878" w14:textId="77777777" w:rsidR="002E0C9F" w:rsidRPr="00EB15B6" w:rsidRDefault="002E0C9F" w:rsidP="00202094">
      <w:pPr>
        <w:jc w:val="both"/>
      </w:pPr>
    </w:p>
    <w:p w14:paraId="036885F9" w14:textId="77777777" w:rsidR="00202094" w:rsidRDefault="00202094" w:rsidP="002E0C9F">
      <w:pPr>
        <w:jc w:val="center"/>
      </w:pPr>
      <w:r>
        <w:t>PHILIPPE</w:t>
      </w:r>
    </w:p>
    <w:p w14:paraId="2EF4C7A2" w14:textId="77777777" w:rsidR="002E0C9F" w:rsidRPr="00EB15B6" w:rsidRDefault="002E0C9F" w:rsidP="002E0C9F">
      <w:pPr>
        <w:jc w:val="center"/>
      </w:pPr>
    </w:p>
    <w:p w14:paraId="5BE8577B" w14:textId="77777777" w:rsidR="00202094" w:rsidRDefault="00202094" w:rsidP="002E0C9F">
      <w:pPr>
        <w:jc w:val="center"/>
      </w:pPr>
      <w:r>
        <w:t>Von Königs wegen:</w:t>
      </w:r>
    </w:p>
    <w:p w14:paraId="07994153" w14:textId="77777777" w:rsidR="002E0C9F" w:rsidRPr="00EB15B6" w:rsidRDefault="002E0C9F" w:rsidP="002E0C9F">
      <w:pPr>
        <w:jc w:val="center"/>
      </w:pPr>
    </w:p>
    <w:p w14:paraId="7B70E218" w14:textId="77777777" w:rsidR="00202094" w:rsidRPr="00202094" w:rsidRDefault="00202094" w:rsidP="002E0C9F">
      <w:pPr>
        <w:jc w:val="center"/>
      </w:pPr>
      <w:r>
        <w:t>Die Ministerin der Justiz</w:t>
      </w:r>
    </w:p>
    <w:p w14:paraId="76127C0F" w14:textId="349EBFCF" w:rsidR="00202094" w:rsidRPr="00202094" w:rsidRDefault="00202094" w:rsidP="002E0C9F">
      <w:pPr>
        <w:jc w:val="center"/>
      </w:pPr>
      <w:r>
        <w:t>A. VERLINDEN</w:t>
      </w:r>
    </w:p>
    <w:sectPr w:rsidR="00202094" w:rsidRPr="00202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94"/>
    <w:rsid w:val="00202094"/>
    <w:rsid w:val="002E0C9F"/>
    <w:rsid w:val="00453BFA"/>
    <w:rsid w:val="00496EBF"/>
    <w:rsid w:val="00695FEF"/>
    <w:rsid w:val="008943D7"/>
    <w:rsid w:val="00897D2D"/>
    <w:rsid w:val="009A1C7A"/>
    <w:rsid w:val="00A425FA"/>
    <w:rsid w:val="00A52544"/>
    <w:rsid w:val="00A96332"/>
    <w:rsid w:val="00B11D0D"/>
    <w:rsid w:val="00B71A66"/>
    <w:rsid w:val="00C27FED"/>
    <w:rsid w:val="00DF7949"/>
    <w:rsid w:val="00E02CD4"/>
    <w:rsid w:val="00E17FDE"/>
    <w:rsid w:val="00EB15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39B"/>
  <w15:chartTrackingRefBased/>
  <w15:docId w15:val="{163980EF-F4F8-4613-A8E7-2C400767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2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2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20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20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0209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0209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0209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0209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0209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20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20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209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20209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20209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20209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0209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0209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0209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0209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20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20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209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0209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02094"/>
    <w:rPr>
      <w:i/>
      <w:iCs/>
      <w:color w:val="404040" w:themeColor="text1" w:themeTint="BF"/>
    </w:rPr>
  </w:style>
  <w:style w:type="paragraph" w:styleId="Paragraphedeliste">
    <w:name w:val="List Paragraph"/>
    <w:basedOn w:val="Normal"/>
    <w:uiPriority w:val="34"/>
    <w:qFormat/>
    <w:rsid w:val="00202094"/>
    <w:pPr>
      <w:ind w:left="720"/>
      <w:contextualSpacing/>
    </w:pPr>
  </w:style>
  <w:style w:type="character" w:styleId="Accentuationintense">
    <w:name w:val="Intense Emphasis"/>
    <w:basedOn w:val="Policepardfaut"/>
    <w:uiPriority w:val="21"/>
    <w:qFormat/>
    <w:rsid w:val="00202094"/>
    <w:rPr>
      <w:i/>
      <w:iCs/>
      <w:color w:val="0F4761" w:themeColor="accent1" w:themeShade="BF"/>
    </w:rPr>
  </w:style>
  <w:style w:type="paragraph" w:styleId="Citationintense">
    <w:name w:val="Intense Quote"/>
    <w:basedOn w:val="Normal"/>
    <w:next w:val="Normal"/>
    <w:link w:val="CitationintenseCar"/>
    <w:uiPriority w:val="30"/>
    <w:qFormat/>
    <w:rsid w:val="00202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2094"/>
    <w:rPr>
      <w:i/>
      <w:iCs/>
      <w:color w:val="0F4761" w:themeColor="accent1" w:themeShade="BF"/>
    </w:rPr>
  </w:style>
  <w:style w:type="character" w:styleId="Rfrenceintense">
    <w:name w:val="Intense Reference"/>
    <w:basedOn w:val="Policepardfaut"/>
    <w:uiPriority w:val="32"/>
    <w:qFormat/>
    <w:rsid w:val="002020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1060</Words>
  <Characters>5832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Siquet</dc:creator>
  <cp:keywords/>
  <dc:description/>
  <cp:lastModifiedBy>NG</cp:lastModifiedBy>
  <cp:revision>3</cp:revision>
  <cp:lastPrinted>2025-12-11T10:17:00Z</cp:lastPrinted>
  <dcterms:created xsi:type="dcterms:W3CDTF">2025-12-11T10:13:00Z</dcterms:created>
  <dcterms:modified xsi:type="dcterms:W3CDTF">2025-12-11T10:17:00Z</dcterms:modified>
</cp:coreProperties>
</file>