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2C7C" w14:textId="42B2141F" w:rsidR="00AA0401" w:rsidRPr="004868C7" w:rsidRDefault="004868C7" w:rsidP="003333CD">
      <w:pPr>
        <w:jc w:val="both"/>
        <w:rPr>
          <w:b/>
          <w:bCs/>
          <w:lang w:val="de-DE"/>
        </w:rPr>
      </w:pPr>
      <w:r w:rsidRPr="004868C7">
        <w:rPr>
          <w:b/>
          <w:lang w:val="de-DE"/>
        </w:rPr>
        <w:t>2. JULI 2025 - Königlicher Erlass zur Abänderung des Königlichen Erlasses vom 13. November 2011 zur Festlegung der an den Haushaltsfonds für Rohstoffe und Erzeugnisse zu entrichtenden Abgaben und Beiträge und des Königlichen Erlasses vom 21. April 2016 über die Meldung der aufgrund ihrer gesundheitlichen oder physikalischen Auswirkungen als gefährlich eingestuften Gemische an das Nationale Zentrum für Vorbeugung und Behandlung von Vergiftungen</w:t>
      </w:r>
      <w:r w:rsidR="00AA0401" w:rsidRPr="004868C7">
        <w:rPr>
          <w:lang w:val="de-DE"/>
        </w:rPr>
        <w:t xml:space="preserve"> </w:t>
      </w:r>
      <w:r w:rsidR="00AA0401" w:rsidRPr="004868C7">
        <w:rPr>
          <w:b/>
          <w:lang w:val="de-DE"/>
        </w:rPr>
        <w:t>(Artikel</w:t>
      </w:r>
      <w:r w:rsidRPr="004868C7">
        <w:rPr>
          <w:b/>
          <w:lang w:val="de-DE"/>
        </w:rPr>
        <w:t> 1, 5 und 6</w:t>
      </w:r>
      <w:r w:rsidR="00AA0401" w:rsidRPr="004868C7">
        <w:rPr>
          <w:b/>
          <w:lang w:val="de-DE"/>
        </w:rPr>
        <w:t>)</w:t>
      </w:r>
    </w:p>
    <w:p w14:paraId="2D945382" w14:textId="77777777" w:rsidR="00AA0401" w:rsidRPr="004868C7" w:rsidRDefault="00AA0401">
      <w:pPr>
        <w:rPr>
          <w:lang w:val="de-DE"/>
        </w:rPr>
      </w:pPr>
    </w:p>
    <w:p w14:paraId="2E54807D" w14:textId="77777777" w:rsidR="00AA0401" w:rsidRPr="004868C7" w:rsidRDefault="00AA0401" w:rsidP="00A94F33">
      <w:pPr>
        <w:jc w:val="both"/>
        <w:rPr>
          <w:lang w:val="de-DE"/>
        </w:rPr>
      </w:pPr>
    </w:p>
    <w:p w14:paraId="7AD20237" w14:textId="3FCF3144" w:rsidR="00AA0401" w:rsidRPr="004868C7" w:rsidRDefault="00AA0401" w:rsidP="00682997">
      <w:pPr>
        <w:jc w:val="center"/>
        <w:rPr>
          <w:i/>
          <w:lang w:val="de-DE"/>
        </w:rPr>
      </w:pPr>
      <w:r w:rsidRPr="004868C7">
        <w:rPr>
          <w:lang w:val="de-DE"/>
        </w:rPr>
        <w:t>(</w:t>
      </w:r>
      <w:r w:rsidRPr="004868C7">
        <w:rPr>
          <w:i/>
          <w:lang w:val="de-DE"/>
        </w:rPr>
        <w:t xml:space="preserve">Belgisches Staatsblatt </w:t>
      </w:r>
      <w:r w:rsidRPr="004868C7">
        <w:rPr>
          <w:lang w:val="de-DE"/>
        </w:rPr>
        <w:t xml:space="preserve">vom </w:t>
      </w:r>
      <w:r w:rsidR="004868C7" w:rsidRPr="004868C7">
        <w:rPr>
          <w:lang w:val="de-DE"/>
        </w:rPr>
        <w:t>2. April 2026</w:t>
      </w:r>
      <w:r w:rsidRPr="004868C7">
        <w:rPr>
          <w:lang w:val="de-DE"/>
        </w:rPr>
        <w:t>)</w:t>
      </w:r>
    </w:p>
    <w:p w14:paraId="20CEB83A" w14:textId="77777777" w:rsidR="00AA0401" w:rsidRPr="004868C7" w:rsidRDefault="00AA0401" w:rsidP="00A94F33">
      <w:pPr>
        <w:jc w:val="both"/>
        <w:rPr>
          <w:lang w:val="de-DE"/>
        </w:rPr>
      </w:pPr>
    </w:p>
    <w:p w14:paraId="357E3F05" w14:textId="77777777" w:rsidR="00AA0401" w:rsidRPr="004868C7" w:rsidRDefault="00AA0401" w:rsidP="00A94F33">
      <w:pPr>
        <w:jc w:val="both"/>
        <w:rPr>
          <w:lang w:val="de-DE"/>
        </w:rPr>
      </w:pPr>
    </w:p>
    <w:p w14:paraId="47447443" w14:textId="77777777" w:rsidR="00B2139D" w:rsidRPr="004868C7" w:rsidRDefault="00B2139D" w:rsidP="00B2139D">
      <w:pPr>
        <w:jc w:val="both"/>
        <w:rPr>
          <w:lang w:val="de-DE"/>
        </w:rPr>
      </w:pPr>
      <w:r w:rsidRPr="004868C7">
        <w:rPr>
          <w:lang w:val="de-DE"/>
        </w:rPr>
        <w:t>Diese deutsche Übersetzung ist von der Zentralen Dienststelle für Deutsche Übersetzungen in Malmedy erstellt worden.</w:t>
      </w:r>
    </w:p>
    <w:p w14:paraId="282D1930" w14:textId="77777777" w:rsidR="00AA0401" w:rsidRPr="004868C7" w:rsidRDefault="00AA0401" w:rsidP="00A94F33">
      <w:pPr>
        <w:jc w:val="both"/>
        <w:rPr>
          <w:lang w:val="de-DE"/>
        </w:rPr>
      </w:pPr>
    </w:p>
    <w:p w14:paraId="652C2106" w14:textId="77777777" w:rsidR="00AA0401" w:rsidRPr="004868C7" w:rsidRDefault="00AA0401" w:rsidP="00A94F33">
      <w:pPr>
        <w:jc w:val="both"/>
        <w:rPr>
          <w:lang w:val="de-DE"/>
        </w:rPr>
        <w:sectPr w:rsidR="00AA0401" w:rsidRPr="004868C7" w:rsidSect="002855B4">
          <w:pgSz w:w="11906" w:h="16838" w:code="9"/>
          <w:pgMar w:top="1418" w:right="1418" w:bottom="1418" w:left="1418" w:header="709" w:footer="709" w:gutter="0"/>
          <w:cols w:space="708"/>
          <w:vAlign w:val="center"/>
          <w:docGrid w:linePitch="360"/>
        </w:sectPr>
      </w:pPr>
    </w:p>
    <w:p w14:paraId="6174F516" w14:textId="77777777" w:rsidR="004868C7" w:rsidRPr="004868C7" w:rsidRDefault="004868C7" w:rsidP="00432FDD">
      <w:pPr>
        <w:jc w:val="center"/>
        <w:rPr>
          <w:lang w:val="de-DE"/>
        </w:rPr>
      </w:pPr>
      <w:r w:rsidRPr="004868C7">
        <w:rPr>
          <w:b/>
          <w:lang w:val="de-DE"/>
        </w:rPr>
        <w:lastRenderedPageBreak/>
        <w:t>FÖDERALER ÖFFENTLICHER DIENST VOLKSGESUNDHEIT, SICHERHEIT DER NAHRUNGSMITTELKETTE UND UMWELT</w:t>
      </w:r>
    </w:p>
    <w:p w14:paraId="5EEB269B" w14:textId="77777777" w:rsidR="004868C7" w:rsidRPr="004868C7" w:rsidRDefault="004868C7">
      <w:pPr>
        <w:rPr>
          <w:lang w:val="de-DE"/>
        </w:rPr>
      </w:pPr>
    </w:p>
    <w:p w14:paraId="7E34EB6F" w14:textId="77777777" w:rsidR="004868C7" w:rsidRPr="004868C7" w:rsidRDefault="004868C7">
      <w:pPr>
        <w:rPr>
          <w:lang w:val="de-DE"/>
        </w:rPr>
      </w:pPr>
    </w:p>
    <w:p w14:paraId="4F390D71" w14:textId="77777777" w:rsidR="004868C7" w:rsidRPr="004868C7" w:rsidRDefault="004868C7" w:rsidP="006151D9">
      <w:pPr>
        <w:jc w:val="both"/>
        <w:rPr>
          <w:b/>
          <w:bCs/>
          <w:lang w:val="de-DE"/>
        </w:rPr>
      </w:pPr>
      <w:r w:rsidRPr="004868C7">
        <w:rPr>
          <w:b/>
          <w:lang w:val="de-DE"/>
        </w:rPr>
        <w:t>2. JULI 2025 - Königlicher Erlass zur Abänderung des Königlichen Erlasses vom 13. November 2011 zur Festlegung der an den Haushaltsfonds für Rohstoffe und Erzeugnisse zu entrichtenden Abgaben und Beiträge und des Königlichen Erlasses vom 21. April 2016 über die Meldung der aufgrund ihrer gesundheitlichen oder physikalischen Auswirkungen als gefährlich eingestuften Gemische an das Nationale Zentrum für Vorbeugung und Behandlung von Vergiftungen</w:t>
      </w:r>
    </w:p>
    <w:p w14:paraId="5AC5754D" w14:textId="77777777" w:rsidR="004868C7" w:rsidRPr="004868C7" w:rsidRDefault="004868C7" w:rsidP="006151D9">
      <w:pPr>
        <w:jc w:val="both"/>
        <w:rPr>
          <w:lang w:val="de-DE"/>
        </w:rPr>
      </w:pPr>
    </w:p>
    <w:p w14:paraId="6431EF3A" w14:textId="77777777" w:rsidR="004868C7" w:rsidRPr="004868C7" w:rsidRDefault="004868C7" w:rsidP="006151D9">
      <w:pPr>
        <w:jc w:val="both"/>
        <w:rPr>
          <w:lang w:val="de-DE"/>
        </w:rPr>
      </w:pPr>
    </w:p>
    <w:p w14:paraId="6AB35F41" w14:textId="77777777" w:rsidR="004868C7" w:rsidRPr="004868C7" w:rsidRDefault="004868C7" w:rsidP="006151D9">
      <w:pPr>
        <w:jc w:val="both"/>
        <w:rPr>
          <w:lang w:val="de-DE"/>
        </w:rPr>
      </w:pPr>
      <w:r w:rsidRPr="004868C7">
        <w:rPr>
          <w:lang w:val="de-DE"/>
        </w:rPr>
        <w:tab/>
      </w:r>
      <w:r w:rsidRPr="004868C7">
        <w:rPr>
          <w:lang w:val="de-DE"/>
        </w:rPr>
        <w:tab/>
      </w:r>
      <w:r w:rsidRPr="004868C7">
        <w:rPr>
          <w:lang w:val="de-DE"/>
        </w:rPr>
        <w:tab/>
        <w:t>PHILIPPE, König der Belgier,</w:t>
      </w:r>
    </w:p>
    <w:p w14:paraId="7E5A42FC" w14:textId="77777777" w:rsidR="004868C7" w:rsidRPr="004868C7" w:rsidRDefault="004868C7" w:rsidP="006151D9">
      <w:pPr>
        <w:jc w:val="both"/>
        <w:rPr>
          <w:lang w:val="de-DE"/>
        </w:rPr>
      </w:pPr>
    </w:p>
    <w:p w14:paraId="67C8BFD8" w14:textId="77777777" w:rsidR="004868C7" w:rsidRPr="004868C7" w:rsidRDefault="004868C7" w:rsidP="006151D9">
      <w:pPr>
        <w:jc w:val="both"/>
        <w:rPr>
          <w:lang w:val="de-DE"/>
        </w:rPr>
      </w:pPr>
      <w:r w:rsidRPr="004868C7">
        <w:rPr>
          <w:lang w:val="de-DE"/>
        </w:rPr>
        <w:tab/>
      </w:r>
      <w:r w:rsidRPr="004868C7">
        <w:rPr>
          <w:lang w:val="de-DE"/>
        </w:rPr>
        <w:tab/>
        <w:t>Allen Gegenwärtigen und Zukünftigen, Unser Gruß!</w:t>
      </w:r>
    </w:p>
    <w:p w14:paraId="1B74BCE1" w14:textId="77777777" w:rsidR="004868C7" w:rsidRPr="004868C7" w:rsidRDefault="004868C7" w:rsidP="006151D9">
      <w:pPr>
        <w:jc w:val="both"/>
        <w:rPr>
          <w:lang w:val="de-DE"/>
        </w:rPr>
      </w:pPr>
    </w:p>
    <w:p w14:paraId="687EBD6E" w14:textId="77777777" w:rsidR="004868C7" w:rsidRPr="004868C7" w:rsidRDefault="004868C7" w:rsidP="006151D9">
      <w:pPr>
        <w:jc w:val="both"/>
        <w:rPr>
          <w:lang w:val="de-DE"/>
        </w:rPr>
      </w:pPr>
    </w:p>
    <w:p w14:paraId="61361FEB" w14:textId="77777777" w:rsidR="004868C7" w:rsidRPr="004868C7" w:rsidRDefault="004868C7" w:rsidP="006151D9">
      <w:pPr>
        <w:jc w:val="both"/>
        <w:rPr>
          <w:lang w:val="de-DE"/>
        </w:rPr>
      </w:pPr>
      <w:r w:rsidRPr="004868C7">
        <w:rPr>
          <w:lang w:val="de-DE"/>
        </w:rPr>
        <w:tab/>
        <w:t>Aufgrund der Verordnung (EG) Nr. 1272/2008 des Europäischen Parlaments und des Rates vom 16. Dezember 2008 über die Einstufung, Kennzeichnung und Verpackung von Stoffen und Gemischen, des Artikels 45;</w:t>
      </w:r>
    </w:p>
    <w:p w14:paraId="747356FB" w14:textId="77777777" w:rsidR="004868C7" w:rsidRPr="004868C7" w:rsidRDefault="004868C7" w:rsidP="006151D9">
      <w:pPr>
        <w:jc w:val="both"/>
        <w:rPr>
          <w:lang w:val="de-DE"/>
        </w:rPr>
      </w:pPr>
    </w:p>
    <w:p w14:paraId="07DCC882" w14:textId="77777777" w:rsidR="004868C7" w:rsidRPr="004868C7" w:rsidRDefault="004868C7" w:rsidP="006151D9">
      <w:pPr>
        <w:jc w:val="both"/>
        <w:rPr>
          <w:lang w:val="de-DE"/>
        </w:rPr>
      </w:pPr>
      <w:r w:rsidRPr="004868C7">
        <w:rPr>
          <w:lang w:val="de-DE"/>
        </w:rPr>
        <w:tab/>
        <w:t>Aufgrund des Gesetzes vom 24. Januar 1977 über den Schutz der Gesundheit der Verbraucher im Bereich der Lebensmittel und anderer Waren, des Artikels 10 Absatz 4;</w:t>
      </w:r>
    </w:p>
    <w:p w14:paraId="3C04D74D" w14:textId="77777777" w:rsidR="004868C7" w:rsidRPr="004868C7" w:rsidRDefault="004868C7" w:rsidP="006151D9">
      <w:pPr>
        <w:jc w:val="both"/>
        <w:rPr>
          <w:lang w:val="de-DE"/>
        </w:rPr>
      </w:pPr>
    </w:p>
    <w:p w14:paraId="20C48808" w14:textId="77777777" w:rsidR="004868C7" w:rsidRPr="004868C7" w:rsidRDefault="004868C7" w:rsidP="006151D9">
      <w:pPr>
        <w:jc w:val="both"/>
        <w:rPr>
          <w:lang w:val="de-DE"/>
        </w:rPr>
      </w:pPr>
      <w:r w:rsidRPr="004868C7">
        <w:rPr>
          <w:lang w:val="de-DE"/>
        </w:rPr>
        <w:tab/>
        <w:t>Aufgrund des Gesetzes vom 21. Dezember 1998 über Produktnormen zur Förderung umweltverträglicher Produktions- und Konsummuster und zum Schutz der Umwelt, der Gesundheit und der Arbeitnehmer, der Artikel 5 § 1 Absatz 1 Nr. 2, abgeändert durch das Gesetz vom 27. Dezember 2004, und 20</w:t>
      </w:r>
      <w:r w:rsidRPr="004868C7">
        <w:rPr>
          <w:i/>
          <w:iCs/>
          <w:lang w:val="de-DE"/>
        </w:rPr>
        <w:t>bis</w:t>
      </w:r>
      <w:r w:rsidRPr="004868C7">
        <w:rPr>
          <w:lang w:val="de-DE"/>
        </w:rPr>
        <w:t xml:space="preserve"> § 1 Absatz 1 und 5, eingefügt durch Artikel 16 des Gesetzes vom 28. März 2003, ersetzt durch das Programmgesetz vom 9. Juli 2004 und abgeändert durch die Gesetze vom 27. Dezember 2004 und 10. September 2009;</w:t>
      </w:r>
    </w:p>
    <w:p w14:paraId="2EA35354" w14:textId="77777777" w:rsidR="004868C7" w:rsidRPr="004868C7" w:rsidRDefault="004868C7" w:rsidP="006151D9">
      <w:pPr>
        <w:jc w:val="both"/>
        <w:rPr>
          <w:lang w:val="de-DE"/>
        </w:rPr>
      </w:pPr>
    </w:p>
    <w:p w14:paraId="4AC08EBD" w14:textId="77777777" w:rsidR="004868C7" w:rsidRPr="004868C7" w:rsidRDefault="004868C7" w:rsidP="006151D9">
      <w:pPr>
        <w:jc w:val="both"/>
        <w:rPr>
          <w:lang w:val="de-DE"/>
        </w:rPr>
      </w:pPr>
      <w:r w:rsidRPr="004868C7">
        <w:rPr>
          <w:lang w:val="de-DE"/>
        </w:rPr>
        <w:tab/>
        <w:t>Aufgrund des Königlichen Erlasses vom 13. November 2011 zur Festlegung der an den Haushaltsfonds für Rohstoffe und Erzeugnisse zu entrichtenden Abgaben und Beiträge;</w:t>
      </w:r>
    </w:p>
    <w:p w14:paraId="5830BE9A" w14:textId="77777777" w:rsidR="004868C7" w:rsidRPr="004868C7" w:rsidRDefault="004868C7" w:rsidP="006151D9">
      <w:pPr>
        <w:jc w:val="both"/>
        <w:rPr>
          <w:lang w:val="de-DE"/>
        </w:rPr>
      </w:pPr>
    </w:p>
    <w:p w14:paraId="610D00E5" w14:textId="77777777" w:rsidR="004868C7" w:rsidRPr="004868C7" w:rsidRDefault="004868C7" w:rsidP="006151D9">
      <w:pPr>
        <w:jc w:val="both"/>
        <w:rPr>
          <w:lang w:val="de-DE"/>
        </w:rPr>
      </w:pPr>
      <w:r w:rsidRPr="004868C7">
        <w:rPr>
          <w:lang w:val="de-DE"/>
        </w:rPr>
        <w:tab/>
        <w:t>Aufgrund des Königlichen Erlasses vom 21. April 2016 über die Meldung der aufgrund ihrer gesundheitlichen oder physikalischen Auswirkungen als gefährlich eingestuften Gemische an das Nationale Zentrum für Vorbeugung und Behandlung von Vergiftungen;</w:t>
      </w:r>
    </w:p>
    <w:p w14:paraId="4AE8410F" w14:textId="77777777" w:rsidR="004868C7" w:rsidRPr="004868C7" w:rsidRDefault="004868C7" w:rsidP="006151D9">
      <w:pPr>
        <w:jc w:val="both"/>
        <w:rPr>
          <w:lang w:val="de-DE"/>
        </w:rPr>
      </w:pPr>
    </w:p>
    <w:p w14:paraId="4B14BD8E" w14:textId="77777777" w:rsidR="004868C7" w:rsidRPr="004868C7" w:rsidRDefault="004868C7" w:rsidP="006151D9">
      <w:pPr>
        <w:jc w:val="both"/>
        <w:rPr>
          <w:lang w:val="de-DE"/>
        </w:rPr>
      </w:pPr>
      <w:r w:rsidRPr="004868C7">
        <w:rPr>
          <w:lang w:val="de-DE"/>
        </w:rPr>
        <w:tab/>
        <w:t>Aufgrund der Stellungnahme des Zentralen Wirtschaftsrates vom 29. November 2024;</w:t>
      </w:r>
    </w:p>
    <w:p w14:paraId="75B8DA02" w14:textId="77777777" w:rsidR="004868C7" w:rsidRPr="004868C7" w:rsidRDefault="004868C7" w:rsidP="006151D9">
      <w:pPr>
        <w:jc w:val="both"/>
        <w:rPr>
          <w:lang w:val="de-DE"/>
        </w:rPr>
      </w:pPr>
    </w:p>
    <w:p w14:paraId="4F906E5E" w14:textId="77777777" w:rsidR="004868C7" w:rsidRPr="004868C7" w:rsidRDefault="004868C7" w:rsidP="006151D9">
      <w:pPr>
        <w:jc w:val="both"/>
        <w:rPr>
          <w:lang w:val="de-DE"/>
        </w:rPr>
      </w:pPr>
      <w:r w:rsidRPr="004868C7">
        <w:rPr>
          <w:lang w:val="de-DE"/>
        </w:rPr>
        <w:tab/>
        <w:t>Aufgrund der Stellungnahme des Besonderen Beratungsausschusses "Verbraucherschutz" vom 29. November 2024;</w:t>
      </w:r>
    </w:p>
    <w:p w14:paraId="72E6FEDC" w14:textId="77777777" w:rsidR="004868C7" w:rsidRPr="004868C7" w:rsidRDefault="004868C7" w:rsidP="006151D9">
      <w:pPr>
        <w:jc w:val="both"/>
        <w:rPr>
          <w:lang w:val="de-DE"/>
        </w:rPr>
      </w:pPr>
    </w:p>
    <w:p w14:paraId="22CC41A6" w14:textId="77777777" w:rsidR="004868C7" w:rsidRPr="004868C7" w:rsidRDefault="004868C7" w:rsidP="006151D9">
      <w:pPr>
        <w:jc w:val="both"/>
        <w:rPr>
          <w:lang w:val="de-DE"/>
        </w:rPr>
      </w:pPr>
      <w:r w:rsidRPr="004868C7">
        <w:rPr>
          <w:lang w:val="de-DE"/>
        </w:rPr>
        <w:tab/>
        <w:t>Aufgrund der Stellungnahme des Föderalen Rates für Nachhaltige Entwicklung vom 29. November 2024;</w:t>
      </w:r>
    </w:p>
    <w:p w14:paraId="10FF3D5F" w14:textId="77777777" w:rsidR="004868C7" w:rsidRPr="004868C7" w:rsidRDefault="004868C7" w:rsidP="006151D9">
      <w:pPr>
        <w:jc w:val="both"/>
        <w:rPr>
          <w:lang w:val="de-DE"/>
        </w:rPr>
      </w:pPr>
    </w:p>
    <w:p w14:paraId="2AE2249A" w14:textId="77777777" w:rsidR="004868C7" w:rsidRPr="004868C7" w:rsidRDefault="004868C7" w:rsidP="006151D9">
      <w:pPr>
        <w:jc w:val="both"/>
        <w:rPr>
          <w:lang w:val="de-DE"/>
        </w:rPr>
      </w:pPr>
      <w:r w:rsidRPr="004868C7">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40A2FF89" w14:textId="77777777" w:rsidR="004868C7" w:rsidRPr="004868C7" w:rsidRDefault="004868C7" w:rsidP="006151D9">
      <w:pPr>
        <w:jc w:val="both"/>
        <w:rPr>
          <w:lang w:val="de-DE"/>
        </w:rPr>
      </w:pPr>
    </w:p>
    <w:p w14:paraId="48321192" w14:textId="77777777" w:rsidR="004868C7" w:rsidRPr="004868C7" w:rsidRDefault="004868C7" w:rsidP="006151D9">
      <w:pPr>
        <w:jc w:val="both"/>
        <w:rPr>
          <w:lang w:val="de-DE"/>
        </w:rPr>
      </w:pPr>
      <w:r w:rsidRPr="004868C7">
        <w:rPr>
          <w:lang w:val="de-DE"/>
        </w:rPr>
        <w:lastRenderedPageBreak/>
        <w:tab/>
        <w:t>Aufgrund der Stellungnahme des Finanzinspektors vom 1. Oktober 2024;</w:t>
      </w:r>
    </w:p>
    <w:p w14:paraId="43D8EFF8" w14:textId="77777777" w:rsidR="004868C7" w:rsidRPr="004868C7" w:rsidRDefault="004868C7" w:rsidP="006151D9">
      <w:pPr>
        <w:jc w:val="both"/>
        <w:rPr>
          <w:lang w:val="de-DE"/>
        </w:rPr>
      </w:pPr>
    </w:p>
    <w:p w14:paraId="747AE671" w14:textId="77777777" w:rsidR="004868C7" w:rsidRPr="004868C7" w:rsidRDefault="004868C7" w:rsidP="006151D9">
      <w:pPr>
        <w:jc w:val="both"/>
        <w:rPr>
          <w:lang w:val="de-DE"/>
        </w:rPr>
      </w:pPr>
      <w:r w:rsidRPr="004868C7">
        <w:rPr>
          <w:lang w:val="de-DE"/>
        </w:rPr>
        <w:tab/>
        <w:t>Aufgrund des Einverständnisses der Staatssekretärin für Haushalt vom 14. Januar 2025;</w:t>
      </w:r>
    </w:p>
    <w:p w14:paraId="29E765BA" w14:textId="77777777" w:rsidR="004868C7" w:rsidRPr="004868C7" w:rsidRDefault="004868C7" w:rsidP="006151D9">
      <w:pPr>
        <w:jc w:val="both"/>
        <w:rPr>
          <w:lang w:val="de-DE"/>
        </w:rPr>
      </w:pPr>
    </w:p>
    <w:p w14:paraId="2D3660F8" w14:textId="77777777" w:rsidR="004868C7" w:rsidRPr="004868C7" w:rsidRDefault="004868C7" w:rsidP="006151D9">
      <w:pPr>
        <w:jc w:val="both"/>
        <w:rPr>
          <w:lang w:val="de-DE"/>
        </w:rPr>
      </w:pPr>
      <w:r w:rsidRPr="004868C7">
        <w:rPr>
          <w:lang w:val="de-DE"/>
        </w:rPr>
        <w:tab/>
        <w:t>Aufgrund des Gutachtens Nr. 77.550/3 des Staatsrates vom 30. April 2025, abgegeben in Anwendung von Artikel 84 § 1 Absatz 1 Nr. 2 der am 12. Januar 1973 koordinierten Gesetze über den Staatsrat;</w:t>
      </w:r>
    </w:p>
    <w:p w14:paraId="1A32E01D" w14:textId="77777777" w:rsidR="004868C7" w:rsidRPr="004868C7" w:rsidRDefault="004868C7" w:rsidP="006151D9">
      <w:pPr>
        <w:jc w:val="both"/>
        <w:rPr>
          <w:lang w:val="de-DE"/>
        </w:rPr>
      </w:pPr>
    </w:p>
    <w:p w14:paraId="2CCC8018" w14:textId="77777777" w:rsidR="004868C7" w:rsidRPr="004868C7" w:rsidRDefault="004868C7" w:rsidP="006151D9">
      <w:pPr>
        <w:jc w:val="both"/>
        <w:rPr>
          <w:lang w:val="de-DE"/>
        </w:rPr>
      </w:pPr>
      <w:r w:rsidRPr="004868C7">
        <w:rPr>
          <w:lang w:val="de-DE"/>
        </w:rPr>
        <w:tab/>
        <w:t>In Erwägung des Königlichen Erlasses vom 25. November 1983 über die Beteiligung des Staates am Nationalen Zentrum für Vorbeugung und Behandlung von Vergiftungen;</w:t>
      </w:r>
    </w:p>
    <w:p w14:paraId="3C5ADE1A" w14:textId="77777777" w:rsidR="004868C7" w:rsidRPr="004868C7" w:rsidRDefault="004868C7" w:rsidP="006151D9">
      <w:pPr>
        <w:jc w:val="both"/>
        <w:rPr>
          <w:lang w:val="de-DE"/>
        </w:rPr>
      </w:pPr>
    </w:p>
    <w:p w14:paraId="05076CEE" w14:textId="77777777" w:rsidR="004868C7" w:rsidRPr="004868C7" w:rsidRDefault="004868C7" w:rsidP="006151D9">
      <w:pPr>
        <w:jc w:val="both"/>
        <w:rPr>
          <w:lang w:val="de-DE"/>
        </w:rPr>
      </w:pPr>
      <w:r w:rsidRPr="004868C7">
        <w:rPr>
          <w:lang w:val="de-DE"/>
        </w:rPr>
        <w:tab/>
        <w:t>In Erwägung des Königlichen Erlasses vom 7. September 2012 zur Festlegung der Sprache auf dem Kennzeichnungsetikett und auf dem Sicherheitsdatenblatt für Stoffe und Gemische und zur Benennung des Nationalen Zentrums für Vorbeugung und Behandlung von Vergiftungen als Stelle im Sinne von Artikel 45 der Verordnung (EG) Nr. 1272/2008;</w:t>
      </w:r>
    </w:p>
    <w:p w14:paraId="08EAA601" w14:textId="77777777" w:rsidR="004868C7" w:rsidRPr="004868C7" w:rsidRDefault="004868C7" w:rsidP="006151D9">
      <w:pPr>
        <w:jc w:val="both"/>
        <w:rPr>
          <w:lang w:val="de-DE"/>
        </w:rPr>
      </w:pPr>
    </w:p>
    <w:p w14:paraId="2CEF290A" w14:textId="77777777" w:rsidR="004868C7" w:rsidRPr="004868C7" w:rsidRDefault="004868C7" w:rsidP="006151D9">
      <w:pPr>
        <w:jc w:val="both"/>
        <w:rPr>
          <w:lang w:val="de-DE"/>
        </w:rPr>
      </w:pPr>
      <w:r w:rsidRPr="004868C7">
        <w:rPr>
          <w:lang w:val="de-DE"/>
        </w:rPr>
        <w:tab/>
        <w:t>Auf Vorschlag des Ministers der Volksgesundheit und aufgrund der Stellungnahme der Minister, die im Rat darüber beraten haben,</w:t>
      </w:r>
    </w:p>
    <w:p w14:paraId="6E0632B5" w14:textId="77777777" w:rsidR="004868C7" w:rsidRPr="004868C7" w:rsidRDefault="004868C7" w:rsidP="006151D9">
      <w:pPr>
        <w:jc w:val="both"/>
        <w:rPr>
          <w:lang w:val="de-DE"/>
        </w:rPr>
      </w:pPr>
    </w:p>
    <w:p w14:paraId="7ED42DEE" w14:textId="77777777" w:rsidR="004868C7" w:rsidRPr="004868C7" w:rsidRDefault="004868C7" w:rsidP="006151D9">
      <w:pPr>
        <w:jc w:val="both"/>
        <w:rPr>
          <w:lang w:val="de-DE"/>
        </w:rPr>
      </w:pPr>
    </w:p>
    <w:p w14:paraId="2CF2FE1F" w14:textId="77777777" w:rsidR="004868C7" w:rsidRPr="004868C7" w:rsidRDefault="004868C7" w:rsidP="006151D9">
      <w:pPr>
        <w:jc w:val="both"/>
        <w:rPr>
          <w:lang w:val="de-DE"/>
        </w:rPr>
      </w:pPr>
      <w:r w:rsidRPr="004868C7">
        <w:rPr>
          <w:lang w:val="de-DE"/>
        </w:rPr>
        <w:tab/>
      </w:r>
      <w:r w:rsidRPr="004868C7">
        <w:rPr>
          <w:lang w:val="de-DE"/>
        </w:rPr>
        <w:tab/>
        <w:t>Haben Wir beschlossen und erlassen Wir:</w:t>
      </w:r>
    </w:p>
    <w:p w14:paraId="010BAC14" w14:textId="77777777" w:rsidR="004868C7" w:rsidRPr="004868C7" w:rsidRDefault="004868C7" w:rsidP="006151D9">
      <w:pPr>
        <w:jc w:val="both"/>
        <w:rPr>
          <w:lang w:val="de-DE"/>
        </w:rPr>
      </w:pPr>
    </w:p>
    <w:p w14:paraId="37D53350" w14:textId="77777777" w:rsidR="004868C7" w:rsidRPr="004868C7" w:rsidRDefault="004868C7" w:rsidP="006151D9">
      <w:pPr>
        <w:jc w:val="both"/>
        <w:rPr>
          <w:lang w:val="de-DE"/>
        </w:rPr>
      </w:pPr>
    </w:p>
    <w:p w14:paraId="091E58D0" w14:textId="77777777" w:rsidR="004868C7" w:rsidRPr="004868C7" w:rsidRDefault="004868C7" w:rsidP="00C313E1">
      <w:pPr>
        <w:jc w:val="both"/>
        <w:rPr>
          <w:i/>
          <w:iCs/>
          <w:lang w:val="de-DE"/>
        </w:rPr>
      </w:pPr>
      <w:r w:rsidRPr="004868C7">
        <w:rPr>
          <w:lang w:val="de-DE"/>
        </w:rPr>
        <w:t xml:space="preserve">KAPITEL 1 - </w:t>
      </w:r>
      <w:r w:rsidRPr="004868C7">
        <w:rPr>
          <w:i/>
          <w:lang w:val="de-DE"/>
        </w:rPr>
        <w:t>Abänderungen des Königlichen Erlasses vom 13. November 2011 zur Festlegung der an den Haushaltsfonds für Rohstoffe und Erzeugnisse zu entrichtenden Abgaben und Beiträge</w:t>
      </w:r>
    </w:p>
    <w:p w14:paraId="6C41CCD8" w14:textId="77777777" w:rsidR="004868C7" w:rsidRPr="004868C7" w:rsidRDefault="004868C7" w:rsidP="006151D9">
      <w:pPr>
        <w:jc w:val="both"/>
        <w:rPr>
          <w:lang w:val="de-DE"/>
        </w:rPr>
      </w:pPr>
    </w:p>
    <w:p w14:paraId="335C7DE5" w14:textId="77777777" w:rsidR="004868C7" w:rsidRPr="004868C7" w:rsidRDefault="004868C7" w:rsidP="006151D9">
      <w:pPr>
        <w:jc w:val="both"/>
        <w:rPr>
          <w:lang w:val="de-DE"/>
        </w:rPr>
      </w:pPr>
    </w:p>
    <w:p w14:paraId="7E5684BE" w14:textId="77777777" w:rsidR="004868C7" w:rsidRPr="004868C7" w:rsidRDefault="004868C7" w:rsidP="006151D9">
      <w:pPr>
        <w:jc w:val="both"/>
        <w:rPr>
          <w:lang w:val="de-DE"/>
        </w:rPr>
      </w:pPr>
      <w:r w:rsidRPr="004868C7">
        <w:rPr>
          <w:lang w:val="de-DE"/>
        </w:rPr>
        <w:tab/>
      </w:r>
      <w:r w:rsidRPr="004868C7">
        <w:rPr>
          <w:b/>
          <w:lang w:val="de-DE"/>
        </w:rPr>
        <w:t>Artikel 1</w:t>
      </w:r>
      <w:r w:rsidRPr="004868C7">
        <w:rPr>
          <w:lang w:val="de-DE"/>
        </w:rPr>
        <w:t> - Artikel 9 des Königlichen Erlasses vom 13. November 2011 zur Festlegung der an den Haushaltsfonds für Rohstoffe und Erzeugnisse zu entrichtenden Abgaben und Beiträge, ersetzt durch den Königlichen Erlass vom 27. Februar 2019, wird wie folgt abgeändert:</w:t>
      </w:r>
    </w:p>
    <w:p w14:paraId="582F62F6" w14:textId="77777777" w:rsidR="004868C7" w:rsidRPr="004868C7" w:rsidRDefault="004868C7" w:rsidP="006151D9">
      <w:pPr>
        <w:jc w:val="both"/>
        <w:rPr>
          <w:lang w:val="de-DE"/>
        </w:rPr>
      </w:pPr>
    </w:p>
    <w:p w14:paraId="2CF44D9C" w14:textId="77777777" w:rsidR="004868C7" w:rsidRPr="004868C7" w:rsidRDefault="004868C7" w:rsidP="006151D9">
      <w:pPr>
        <w:jc w:val="both"/>
        <w:rPr>
          <w:lang w:val="de-DE"/>
        </w:rPr>
      </w:pPr>
      <w:r w:rsidRPr="004868C7">
        <w:rPr>
          <w:lang w:val="de-DE"/>
        </w:rPr>
        <w:tab/>
        <w:t>1. Paragraph 1 wird wie folgt ersetzt:</w:t>
      </w:r>
    </w:p>
    <w:p w14:paraId="33523622" w14:textId="77777777" w:rsidR="004868C7" w:rsidRPr="004868C7" w:rsidRDefault="004868C7" w:rsidP="006151D9">
      <w:pPr>
        <w:jc w:val="both"/>
        <w:rPr>
          <w:lang w:val="de-DE"/>
        </w:rPr>
      </w:pPr>
    </w:p>
    <w:p w14:paraId="73F395BC" w14:textId="77777777" w:rsidR="004868C7" w:rsidRPr="004868C7" w:rsidRDefault="004868C7" w:rsidP="006151D9">
      <w:pPr>
        <w:jc w:val="both"/>
        <w:rPr>
          <w:lang w:val="de-DE"/>
        </w:rPr>
      </w:pPr>
      <w:r w:rsidRPr="004868C7">
        <w:rPr>
          <w:lang w:val="de-DE"/>
        </w:rPr>
        <w:tab/>
        <w:t>"§ 1 ­ Für die Meldungen eines gefährlichen Gemischs an das "Nationale Zentrum für Vorbeugung und Behandlung von Vergiftungen" gemäß Artikel 45 der Verordnung (EG) Nr. 1272/2008 des Europäischen Parlaments und des Rates vom 16. Dezember 2008 über die Einstufung, Kennzeichnung und Verpackung von Stoffen und Gemischen muss die Person, die die Meldung vornimmt, eine Abgabe an den Haushaltsfonds für Rohstoffe und Erzeugnisse entrichten. Der Betrag dieser jährlichen Abgabe wird auf der Grundlage der in der Tabelle festgelegten Kriterien bestimmt.</w:t>
      </w:r>
    </w:p>
    <w:p w14:paraId="62C42FE7" w14:textId="77777777" w:rsidR="004868C7" w:rsidRPr="004868C7" w:rsidRDefault="004868C7">
      <w:pPr>
        <w:rPr>
          <w:lang w:val="de-DE"/>
        </w:rPr>
      </w:pPr>
      <w:r w:rsidRPr="004868C7">
        <w:rPr>
          <w:lang w:val="de-DE"/>
        </w:rPr>
        <w:br w:type="page"/>
      </w:r>
    </w:p>
    <w:p w14:paraId="1B6E8C42" w14:textId="77777777" w:rsidR="004868C7" w:rsidRPr="004868C7" w:rsidRDefault="004868C7" w:rsidP="006151D9">
      <w:pPr>
        <w:jc w:val="both"/>
        <w:rPr>
          <w:lang w:val="de-DE"/>
        </w:rPr>
      </w:pPr>
    </w:p>
    <w:tbl>
      <w:tblPr>
        <w:tblStyle w:val="Grilledutableau"/>
        <w:tblW w:w="0" w:type="auto"/>
        <w:tblLook w:val="04A0" w:firstRow="1" w:lastRow="0" w:firstColumn="1" w:lastColumn="0" w:noHBand="0" w:noVBand="1"/>
      </w:tblPr>
      <w:tblGrid>
        <w:gridCol w:w="4530"/>
        <w:gridCol w:w="4530"/>
      </w:tblGrid>
      <w:tr w:rsidR="004868C7" w:rsidRPr="004868C7" w14:paraId="7399C584" w14:textId="77777777" w:rsidTr="006151D9">
        <w:trPr>
          <w:cantSplit/>
          <w:trHeight w:val="567"/>
        </w:trPr>
        <w:tc>
          <w:tcPr>
            <w:tcW w:w="4531" w:type="dxa"/>
            <w:vAlign w:val="center"/>
          </w:tcPr>
          <w:p w14:paraId="7B07838F" w14:textId="77777777" w:rsidR="004868C7" w:rsidRPr="004868C7" w:rsidRDefault="004868C7" w:rsidP="006151D9">
            <w:pPr>
              <w:jc w:val="center"/>
            </w:pPr>
            <w:r w:rsidRPr="004868C7">
              <w:t>Anzahl der jährlich pro Unternehmer gemeldeten Gemische</w:t>
            </w:r>
          </w:p>
        </w:tc>
        <w:tc>
          <w:tcPr>
            <w:tcW w:w="4531" w:type="dxa"/>
            <w:vAlign w:val="center"/>
          </w:tcPr>
          <w:p w14:paraId="6A4EFF01" w14:textId="77777777" w:rsidR="004868C7" w:rsidRPr="004868C7" w:rsidRDefault="004868C7" w:rsidP="006151D9">
            <w:pPr>
              <w:jc w:val="center"/>
            </w:pPr>
            <w:r w:rsidRPr="004868C7">
              <w:t>Jährliche Abgabe (in EUR)</w:t>
            </w:r>
          </w:p>
        </w:tc>
      </w:tr>
      <w:tr w:rsidR="004868C7" w:rsidRPr="004868C7" w14:paraId="7A11888E" w14:textId="77777777" w:rsidTr="006151D9">
        <w:trPr>
          <w:cantSplit/>
          <w:trHeight w:val="567"/>
        </w:trPr>
        <w:tc>
          <w:tcPr>
            <w:tcW w:w="4531" w:type="dxa"/>
            <w:vAlign w:val="center"/>
          </w:tcPr>
          <w:p w14:paraId="6D3B5854" w14:textId="77777777" w:rsidR="004868C7" w:rsidRPr="004868C7" w:rsidRDefault="004868C7" w:rsidP="006151D9">
            <w:pPr>
              <w:jc w:val="both"/>
            </w:pPr>
            <w:r w:rsidRPr="004868C7">
              <w:t>1-5</w:t>
            </w:r>
          </w:p>
        </w:tc>
        <w:tc>
          <w:tcPr>
            <w:tcW w:w="4531" w:type="dxa"/>
            <w:vAlign w:val="center"/>
          </w:tcPr>
          <w:p w14:paraId="18B886A1" w14:textId="77777777" w:rsidR="004868C7" w:rsidRPr="004868C7" w:rsidRDefault="004868C7" w:rsidP="006151D9">
            <w:pPr>
              <w:jc w:val="right"/>
            </w:pPr>
            <w:r w:rsidRPr="004868C7">
              <w:t>0</w:t>
            </w:r>
          </w:p>
        </w:tc>
      </w:tr>
      <w:tr w:rsidR="004868C7" w:rsidRPr="004868C7" w14:paraId="3AE40F03" w14:textId="77777777" w:rsidTr="006151D9">
        <w:trPr>
          <w:cantSplit/>
          <w:trHeight w:val="567"/>
        </w:trPr>
        <w:tc>
          <w:tcPr>
            <w:tcW w:w="4531" w:type="dxa"/>
            <w:vAlign w:val="center"/>
          </w:tcPr>
          <w:p w14:paraId="0DB0A706" w14:textId="77777777" w:rsidR="004868C7" w:rsidRPr="004868C7" w:rsidRDefault="004868C7" w:rsidP="006151D9">
            <w:pPr>
              <w:jc w:val="both"/>
            </w:pPr>
            <w:r w:rsidRPr="004868C7">
              <w:t>6-20</w:t>
            </w:r>
          </w:p>
        </w:tc>
        <w:tc>
          <w:tcPr>
            <w:tcW w:w="4531" w:type="dxa"/>
            <w:vAlign w:val="center"/>
          </w:tcPr>
          <w:p w14:paraId="4D045956" w14:textId="77777777" w:rsidR="004868C7" w:rsidRPr="004868C7" w:rsidRDefault="004868C7" w:rsidP="006151D9">
            <w:pPr>
              <w:jc w:val="right"/>
            </w:pPr>
            <w:r w:rsidRPr="004868C7">
              <w:t>500</w:t>
            </w:r>
          </w:p>
        </w:tc>
      </w:tr>
      <w:tr w:rsidR="004868C7" w:rsidRPr="004868C7" w14:paraId="06D825B3" w14:textId="77777777" w:rsidTr="006151D9">
        <w:trPr>
          <w:cantSplit/>
          <w:trHeight w:val="567"/>
        </w:trPr>
        <w:tc>
          <w:tcPr>
            <w:tcW w:w="4531" w:type="dxa"/>
            <w:vAlign w:val="center"/>
          </w:tcPr>
          <w:p w14:paraId="5A20A69A" w14:textId="77777777" w:rsidR="004868C7" w:rsidRPr="004868C7" w:rsidRDefault="004868C7" w:rsidP="006151D9">
            <w:pPr>
              <w:jc w:val="both"/>
            </w:pPr>
            <w:r w:rsidRPr="004868C7">
              <w:t>21-75</w:t>
            </w:r>
          </w:p>
        </w:tc>
        <w:tc>
          <w:tcPr>
            <w:tcW w:w="4531" w:type="dxa"/>
            <w:vAlign w:val="center"/>
          </w:tcPr>
          <w:p w14:paraId="31A44AD9" w14:textId="77777777" w:rsidR="004868C7" w:rsidRPr="004868C7" w:rsidRDefault="004868C7" w:rsidP="006151D9">
            <w:pPr>
              <w:jc w:val="right"/>
            </w:pPr>
            <w:r w:rsidRPr="004868C7">
              <w:t>1000</w:t>
            </w:r>
          </w:p>
        </w:tc>
      </w:tr>
      <w:tr w:rsidR="004868C7" w:rsidRPr="004868C7" w14:paraId="256015F7" w14:textId="77777777" w:rsidTr="006151D9">
        <w:trPr>
          <w:cantSplit/>
          <w:trHeight w:val="567"/>
        </w:trPr>
        <w:tc>
          <w:tcPr>
            <w:tcW w:w="4531" w:type="dxa"/>
            <w:vAlign w:val="center"/>
          </w:tcPr>
          <w:p w14:paraId="2D2B06B7" w14:textId="77777777" w:rsidR="004868C7" w:rsidRPr="004868C7" w:rsidRDefault="004868C7" w:rsidP="006151D9">
            <w:pPr>
              <w:jc w:val="both"/>
            </w:pPr>
            <w:r w:rsidRPr="004868C7">
              <w:t>76-100</w:t>
            </w:r>
          </w:p>
        </w:tc>
        <w:tc>
          <w:tcPr>
            <w:tcW w:w="4531" w:type="dxa"/>
            <w:vAlign w:val="center"/>
          </w:tcPr>
          <w:p w14:paraId="66AD6748" w14:textId="77777777" w:rsidR="004868C7" w:rsidRPr="004868C7" w:rsidRDefault="004868C7" w:rsidP="006151D9">
            <w:pPr>
              <w:jc w:val="right"/>
            </w:pPr>
            <w:r w:rsidRPr="004868C7">
              <w:t>2000</w:t>
            </w:r>
          </w:p>
        </w:tc>
      </w:tr>
      <w:tr w:rsidR="004868C7" w:rsidRPr="004868C7" w14:paraId="1FAAE197" w14:textId="77777777" w:rsidTr="006151D9">
        <w:trPr>
          <w:cantSplit/>
          <w:trHeight w:val="567"/>
        </w:trPr>
        <w:tc>
          <w:tcPr>
            <w:tcW w:w="4531" w:type="dxa"/>
            <w:vAlign w:val="center"/>
          </w:tcPr>
          <w:p w14:paraId="72377247" w14:textId="77777777" w:rsidR="004868C7" w:rsidRPr="004868C7" w:rsidRDefault="004868C7" w:rsidP="006151D9">
            <w:pPr>
              <w:jc w:val="both"/>
            </w:pPr>
            <w:r w:rsidRPr="004868C7">
              <w:t>101-250</w:t>
            </w:r>
          </w:p>
        </w:tc>
        <w:tc>
          <w:tcPr>
            <w:tcW w:w="4531" w:type="dxa"/>
            <w:vAlign w:val="center"/>
          </w:tcPr>
          <w:p w14:paraId="54280DEB" w14:textId="77777777" w:rsidR="004868C7" w:rsidRPr="004868C7" w:rsidRDefault="004868C7" w:rsidP="006151D9">
            <w:pPr>
              <w:jc w:val="right"/>
            </w:pPr>
            <w:r w:rsidRPr="004868C7">
              <w:t>3000</w:t>
            </w:r>
          </w:p>
        </w:tc>
      </w:tr>
      <w:tr w:rsidR="004868C7" w:rsidRPr="004868C7" w14:paraId="1A011DFF" w14:textId="77777777" w:rsidTr="006151D9">
        <w:trPr>
          <w:cantSplit/>
          <w:trHeight w:val="567"/>
        </w:trPr>
        <w:tc>
          <w:tcPr>
            <w:tcW w:w="4531" w:type="dxa"/>
            <w:vAlign w:val="center"/>
          </w:tcPr>
          <w:p w14:paraId="799D22F0" w14:textId="77777777" w:rsidR="004868C7" w:rsidRPr="004868C7" w:rsidRDefault="004868C7" w:rsidP="006151D9">
            <w:pPr>
              <w:jc w:val="both"/>
            </w:pPr>
            <w:r w:rsidRPr="004868C7">
              <w:t>251-500</w:t>
            </w:r>
          </w:p>
        </w:tc>
        <w:tc>
          <w:tcPr>
            <w:tcW w:w="4531" w:type="dxa"/>
            <w:vAlign w:val="center"/>
          </w:tcPr>
          <w:p w14:paraId="1C523D29" w14:textId="77777777" w:rsidR="004868C7" w:rsidRPr="004868C7" w:rsidRDefault="004868C7" w:rsidP="006151D9">
            <w:pPr>
              <w:jc w:val="right"/>
            </w:pPr>
            <w:r w:rsidRPr="004868C7">
              <w:t>5000</w:t>
            </w:r>
          </w:p>
        </w:tc>
      </w:tr>
      <w:tr w:rsidR="004868C7" w:rsidRPr="004868C7" w14:paraId="227127EA" w14:textId="77777777" w:rsidTr="006151D9">
        <w:trPr>
          <w:cantSplit/>
          <w:trHeight w:val="567"/>
        </w:trPr>
        <w:tc>
          <w:tcPr>
            <w:tcW w:w="4531" w:type="dxa"/>
            <w:vAlign w:val="center"/>
          </w:tcPr>
          <w:p w14:paraId="37E879C8" w14:textId="77777777" w:rsidR="004868C7" w:rsidRPr="004868C7" w:rsidRDefault="004868C7" w:rsidP="006151D9">
            <w:pPr>
              <w:jc w:val="both"/>
            </w:pPr>
            <w:r w:rsidRPr="004868C7">
              <w:t>501-1000</w:t>
            </w:r>
          </w:p>
        </w:tc>
        <w:tc>
          <w:tcPr>
            <w:tcW w:w="4531" w:type="dxa"/>
            <w:vAlign w:val="center"/>
          </w:tcPr>
          <w:p w14:paraId="6C94C5B2" w14:textId="77777777" w:rsidR="004868C7" w:rsidRPr="004868C7" w:rsidRDefault="004868C7" w:rsidP="006151D9">
            <w:pPr>
              <w:jc w:val="right"/>
            </w:pPr>
            <w:r w:rsidRPr="004868C7">
              <w:t>7000</w:t>
            </w:r>
          </w:p>
        </w:tc>
      </w:tr>
      <w:tr w:rsidR="004868C7" w:rsidRPr="004868C7" w14:paraId="76E7E94E" w14:textId="77777777" w:rsidTr="006151D9">
        <w:trPr>
          <w:cantSplit/>
          <w:trHeight w:val="567"/>
        </w:trPr>
        <w:tc>
          <w:tcPr>
            <w:tcW w:w="4531" w:type="dxa"/>
            <w:vAlign w:val="center"/>
          </w:tcPr>
          <w:p w14:paraId="6A15055C" w14:textId="77777777" w:rsidR="004868C7" w:rsidRPr="004868C7" w:rsidRDefault="004868C7" w:rsidP="006151D9">
            <w:pPr>
              <w:jc w:val="both"/>
            </w:pPr>
            <w:r w:rsidRPr="004868C7">
              <w:t>1001-2000</w:t>
            </w:r>
          </w:p>
        </w:tc>
        <w:tc>
          <w:tcPr>
            <w:tcW w:w="4531" w:type="dxa"/>
            <w:vAlign w:val="center"/>
          </w:tcPr>
          <w:p w14:paraId="437B93F5" w14:textId="77777777" w:rsidR="004868C7" w:rsidRPr="004868C7" w:rsidRDefault="004868C7" w:rsidP="006151D9">
            <w:pPr>
              <w:jc w:val="right"/>
            </w:pPr>
            <w:r w:rsidRPr="004868C7">
              <w:t>10000</w:t>
            </w:r>
          </w:p>
        </w:tc>
      </w:tr>
      <w:tr w:rsidR="004868C7" w:rsidRPr="004868C7" w14:paraId="49890B7B" w14:textId="77777777" w:rsidTr="006151D9">
        <w:trPr>
          <w:cantSplit/>
          <w:trHeight w:val="567"/>
        </w:trPr>
        <w:tc>
          <w:tcPr>
            <w:tcW w:w="4531" w:type="dxa"/>
            <w:vAlign w:val="center"/>
          </w:tcPr>
          <w:p w14:paraId="39EE443B" w14:textId="77777777" w:rsidR="004868C7" w:rsidRPr="004868C7" w:rsidRDefault="004868C7" w:rsidP="006151D9">
            <w:pPr>
              <w:jc w:val="both"/>
            </w:pPr>
            <w:r w:rsidRPr="004868C7">
              <w:t>2001-5000</w:t>
            </w:r>
          </w:p>
        </w:tc>
        <w:tc>
          <w:tcPr>
            <w:tcW w:w="4531" w:type="dxa"/>
            <w:vAlign w:val="center"/>
          </w:tcPr>
          <w:p w14:paraId="04BC5EAF" w14:textId="77777777" w:rsidR="004868C7" w:rsidRPr="004868C7" w:rsidRDefault="004868C7" w:rsidP="006151D9">
            <w:pPr>
              <w:jc w:val="right"/>
            </w:pPr>
            <w:r w:rsidRPr="004868C7">
              <w:t>15000</w:t>
            </w:r>
          </w:p>
        </w:tc>
      </w:tr>
      <w:tr w:rsidR="004868C7" w:rsidRPr="004868C7" w14:paraId="5F581E60" w14:textId="77777777" w:rsidTr="006151D9">
        <w:trPr>
          <w:cantSplit/>
          <w:trHeight w:val="567"/>
        </w:trPr>
        <w:tc>
          <w:tcPr>
            <w:tcW w:w="4531" w:type="dxa"/>
            <w:vAlign w:val="center"/>
          </w:tcPr>
          <w:p w14:paraId="298A5875" w14:textId="77777777" w:rsidR="004868C7" w:rsidRPr="004868C7" w:rsidRDefault="004868C7" w:rsidP="006151D9">
            <w:pPr>
              <w:jc w:val="both"/>
            </w:pPr>
            <w:r w:rsidRPr="004868C7">
              <w:t>5001-10000</w:t>
            </w:r>
          </w:p>
        </w:tc>
        <w:tc>
          <w:tcPr>
            <w:tcW w:w="4531" w:type="dxa"/>
            <w:vAlign w:val="center"/>
          </w:tcPr>
          <w:p w14:paraId="3B705420" w14:textId="77777777" w:rsidR="004868C7" w:rsidRPr="004868C7" w:rsidRDefault="004868C7" w:rsidP="006151D9">
            <w:pPr>
              <w:jc w:val="right"/>
            </w:pPr>
            <w:r w:rsidRPr="004868C7">
              <w:t>20000</w:t>
            </w:r>
          </w:p>
        </w:tc>
      </w:tr>
      <w:tr w:rsidR="004868C7" w:rsidRPr="004868C7" w14:paraId="6C41A4EA" w14:textId="77777777" w:rsidTr="006151D9">
        <w:trPr>
          <w:cantSplit/>
          <w:trHeight w:val="567"/>
        </w:trPr>
        <w:tc>
          <w:tcPr>
            <w:tcW w:w="4531" w:type="dxa"/>
            <w:vAlign w:val="center"/>
          </w:tcPr>
          <w:p w14:paraId="52921F0B" w14:textId="77777777" w:rsidR="004868C7" w:rsidRPr="004868C7" w:rsidRDefault="004868C7" w:rsidP="006151D9">
            <w:pPr>
              <w:jc w:val="both"/>
            </w:pPr>
            <w:r w:rsidRPr="004868C7">
              <w:t>&gt;10000</w:t>
            </w:r>
          </w:p>
        </w:tc>
        <w:tc>
          <w:tcPr>
            <w:tcW w:w="4531" w:type="dxa"/>
            <w:vAlign w:val="center"/>
          </w:tcPr>
          <w:p w14:paraId="4ABDBE7D" w14:textId="77777777" w:rsidR="004868C7" w:rsidRPr="004868C7" w:rsidRDefault="004868C7" w:rsidP="006151D9">
            <w:pPr>
              <w:jc w:val="right"/>
            </w:pPr>
            <w:r w:rsidRPr="004868C7">
              <w:t>40000</w:t>
            </w:r>
          </w:p>
        </w:tc>
      </w:tr>
    </w:tbl>
    <w:p w14:paraId="2D60873E" w14:textId="77777777" w:rsidR="004868C7" w:rsidRPr="004868C7" w:rsidRDefault="004868C7" w:rsidP="006151D9">
      <w:pPr>
        <w:jc w:val="both"/>
        <w:rPr>
          <w:lang w:val="de-DE"/>
        </w:rPr>
      </w:pPr>
    </w:p>
    <w:p w14:paraId="6B310E18" w14:textId="77777777" w:rsidR="004868C7" w:rsidRPr="004868C7" w:rsidRDefault="004868C7" w:rsidP="006151D9">
      <w:pPr>
        <w:jc w:val="both"/>
        <w:rPr>
          <w:lang w:val="de-DE"/>
        </w:rPr>
      </w:pPr>
      <w:r w:rsidRPr="004868C7">
        <w:rPr>
          <w:lang w:val="de-DE"/>
        </w:rPr>
        <w:tab/>
        <w:t>Diese Abgabe wird entsprechend der Anzahl Gemische berechnet, die jährlich von dem in Artikel 45, 1</w:t>
      </w:r>
      <w:r w:rsidRPr="004868C7">
        <w:rPr>
          <w:i/>
          <w:iCs/>
          <w:lang w:val="de-DE"/>
        </w:rPr>
        <w:t>ter</w:t>
      </w:r>
      <w:r w:rsidRPr="004868C7">
        <w:rPr>
          <w:lang w:val="de-DE"/>
        </w:rPr>
        <w:t xml:space="preserve"> oder 1</w:t>
      </w:r>
      <w:r w:rsidRPr="004868C7">
        <w:rPr>
          <w:i/>
          <w:iCs/>
          <w:lang w:val="de-DE"/>
        </w:rPr>
        <w:t>quater</w:t>
      </w:r>
      <w:r w:rsidRPr="004868C7">
        <w:rPr>
          <w:lang w:val="de-DE"/>
        </w:rPr>
        <w:t xml:space="preserve"> der Verordnung (EG) Nr. 1272/2008 erwähnten Unternehmer gemeldet werden. Die Abgabe wird ab dem Jahr nach dem Jahr der Meldung geschuldet und ist auf der Grundlage der von der Verwaltung aufgestellten Rechnung zu begleichen. Sie wird automatisch um 20 Prozent erhöht, wenn sie nicht bis zum Fälligkeitsdatum der ersten Zahlungserinnerung, die von der Verwaltung versendet wird, auf dem Konto des Haushaltsfonds für Rohstoffe und Erzeugnisse registriert worden ist."</w:t>
      </w:r>
    </w:p>
    <w:p w14:paraId="53F68DE0" w14:textId="77777777" w:rsidR="004868C7" w:rsidRPr="004868C7" w:rsidRDefault="004868C7" w:rsidP="006151D9">
      <w:pPr>
        <w:jc w:val="both"/>
        <w:rPr>
          <w:lang w:val="de-DE"/>
        </w:rPr>
      </w:pPr>
    </w:p>
    <w:p w14:paraId="34ADBE97" w14:textId="77777777" w:rsidR="004868C7" w:rsidRPr="004868C7" w:rsidRDefault="004868C7" w:rsidP="006151D9">
      <w:pPr>
        <w:jc w:val="both"/>
        <w:rPr>
          <w:lang w:val="de-DE"/>
        </w:rPr>
      </w:pPr>
      <w:r w:rsidRPr="004868C7">
        <w:rPr>
          <w:lang w:val="de-DE"/>
        </w:rPr>
        <w:tab/>
        <w:t>2. Paragraph 2 wird wie folgt ersetzt:</w:t>
      </w:r>
    </w:p>
    <w:p w14:paraId="08757622" w14:textId="77777777" w:rsidR="004868C7" w:rsidRPr="004868C7" w:rsidRDefault="004868C7" w:rsidP="006151D9">
      <w:pPr>
        <w:jc w:val="both"/>
        <w:rPr>
          <w:lang w:val="de-DE"/>
        </w:rPr>
      </w:pPr>
    </w:p>
    <w:p w14:paraId="1D41B093" w14:textId="77777777" w:rsidR="004868C7" w:rsidRPr="004868C7" w:rsidRDefault="004868C7" w:rsidP="006151D9">
      <w:pPr>
        <w:jc w:val="both"/>
        <w:rPr>
          <w:lang w:val="de-DE"/>
        </w:rPr>
      </w:pPr>
      <w:r w:rsidRPr="004868C7">
        <w:rPr>
          <w:lang w:val="de-DE"/>
        </w:rPr>
        <w:tab/>
        <w:t>"§ 2 ­ Bei einer Änderung der Zusammensetzung eines gefährlichen Gemischs, für die eine Aktualisierung der Meldung aufgrund von Anlage VIII Teil B der Verordnung (EG) Nr. 1272/2008 erforderlich ist, wird dieses Gemisch als neues Gemisch betrachtet und die Abgabe muss ebenfalls von dem in § 1 Absatz 1 erwähnten Meldenden entrichtet werden."</w:t>
      </w:r>
    </w:p>
    <w:p w14:paraId="7C1FB00B" w14:textId="77777777" w:rsidR="004868C7" w:rsidRPr="004868C7" w:rsidRDefault="004868C7" w:rsidP="006151D9">
      <w:pPr>
        <w:jc w:val="both"/>
        <w:rPr>
          <w:lang w:val="de-DE"/>
        </w:rPr>
      </w:pPr>
    </w:p>
    <w:p w14:paraId="66B1A27C" w14:textId="77777777" w:rsidR="004868C7" w:rsidRPr="004868C7" w:rsidRDefault="004868C7" w:rsidP="006151D9">
      <w:pPr>
        <w:jc w:val="both"/>
        <w:rPr>
          <w:lang w:val="de-DE"/>
        </w:rPr>
      </w:pPr>
      <w:r w:rsidRPr="004868C7">
        <w:rPr>
          <w:lang w:val="de-DE"/>
        </w:rPr>
        <w:tab/>
        <w:t>3. Die Paragraphen 3, 4 und 5 werden aufgehoben.</w:t>
      </w:r>
    </w:p>
    <w:p w14:paraId="47B35F11" w14:textId="77777777" w:rsidR="004868C7" w:rsidRPr="004868C7" w:rsidRDefault="004868C7" w:rsidP="006151D9">
      <w:pPr>
        <w:jc w:val="both"/>
        <w:rPr>
          <w:lang w:val="de-DE"/>
        </w:rPr>
      </w:pPr>
    </w:p>
    <w:p w14:paraId="4752D7DB" w14:textId="77777777" w:rsidR="004868C7" w:rsidRPr="004868C7" w:rsidRDefault="004868C7" w:rsidP="006151D9">
      <w:pPr>
        <w:jc w:val="both"/>
        <w:rPr>
          <w:lang w:val="de-DE"/>
        </w:rPr>
      </w:pPr>
    </w:p>
    <w:p w14:paraId="502FCDBD" w14:textId="77777777" w:rsidR="004868C7" w:rsidRPr="004868C7" w:rsidRDefault="004868C7" w:rsidP="006151D9">
      <w:pPr>
        <w:jc w:val="center"/>
        <w:rPr>
          <w:lang w:val="de-DE"/>
        </w:rPr>
      </w:pPr>
      <w:r w:rsidRPr="004868C7">
        <w:rPr>
          <w:lang w:val="de-DE"/>
        </w:rPr>
        <w:t>(…)</w:t>
      </w:r>
    </w:p>
    <w:p w14:paraId="54F4BC0D" w14:textId="77777777" w:rsidR="004868C7" w:rsidRPr="004868C7" w:rsidRDefault="004868C7" w:rsidP="006151D9">
      <w:pPr>
        <w:jc w:val="both"/>
        <w:rPr>
          <w:lang w:val="de-DE"/>
        </w:rPr>
      </w:pPr>
    </w:p>
    <w:p w14:paraId="4BDF2A3F" w14:textId="77777777" w:rsidR="004868C7" w:rsidRPr="004868C7" w:rsidRDefault="004868C7" w:rsidP="006151D9">
      <w:pPr>
        <w:jc w:val="both"/>
        <w:rPr>
          <w:lang w:val="de-DE"/>
        </w:rPr>
      </w:pPr>
    </w:p>
    <w:p w14:paraId="4B647F77" w14:textId="77777777" w:rsidR="004868C7" w:rsidRPr="004868C7" w:rsidRDefault="004868C7" w:rsidP="006151D9">
      <w:pPr>
        <w:jc w:val="both"/>
        <w:rPr>
          <w:lang w:val="de-DE"/>
        </w:rPr>
      </w:pPr>
      <w:r w:rsidRPr="004868C7">
        <w:rPr>
          <w:lang w:val="de-DE"/>
        </w:rPr>
        <w:tab/>
      </w:r>
      <w:r w:rsidRPr="004868C7">
        <w:rPr>
          <w:b/>
          <w:bCs/>
          <w:lang w:val="de-DE"/>
        </w:rPr>
        <w:t>Art. 5</w:t>
      </w:r>
      <w:r w:rsidRPr="004868C7">
        <w:rPr>
          <w:lang w:val="de-DE"/>
        </w:rPr>
        <w:t> - Artikel 1 tritt am 1. Januar 2027 für Meldungen in Kraft, die ab dem 1. Januar 2026 erfolgen.</w:t>
      </w:r>
    </w:p>
    <w:p w14:paraId="697AC421" w14:textId="77777777" w:rsidR="004868C7" w:rsidRPr="004868C7" w:rsidRDefault="004868C7" w:rsidP="006151D9">
      <w:pPr>
        <w:jc w:val="both"/>
        <w:rPr>
          <w:lang w:val="de-DE"/>
        </w:rPr>
      </w:pPr>
    </w:p>
    <w:p w14:paraId="25C32644" w14:textId="77777777" w:rsidR="004868C7" w:rsidRPr="004868C7" w:rsidRDefault="004868C7" w:rsidP="006151D9">
      <w:pPr>
        <w:jc w:val="both"/>
        <w:rPr>
          <w:lang w:val="de-DE"/>
        </w:rPr>
      </w:pPr>
    </w:p>
    <w:p w14:paraId="4A9FD758" w14:textId="77777777" w:rsidR="004868C7" w:rsidRPr="004868C7" w:rsidRDefault="004868C7" w:rsidP="006151D9">
      <w:pPr>
        <w:jc w:val="both"/>
        <w:rPr>
          <w:lang w:val="de-DE"/>
        </w:rPr>
      </w:pPr>
      <w:r w:rsidRPr="004868C7">
        <w:rPr>
          <w:lang w:val="de-DE"/>
        </w:rPr>
        <w:tab/>
      </w:r>
      <w:r w:rsidRPr="004868C7">
        <w:rPr>
          <w:b/>
          <w:bCs/>
          <w:lang w:val="de-DE"/>
        </w:rPr>
        <w:t>Art. 6</w:t>
      </w:r>
      <w:r w:rsidRPr="004868C7">
        <w:rPr>
          <w:lang w:val="de-DE"/>
        </w:rPr>
        <w:t> - Der für die Volksgesundheit zuständige Minister ist mit der Ausführung des vorliegenden Erlasses beauftragt.</w:t>
      </w:r>
    </w:p>
    <w:p w14:paraId="7115203C" w14:textId="77777777" w:rsidR="004868C7" w:rsidRPr="004868C7" w:rsidRDefault="004868C7" w:rsidP="006151D9">
      <w:pPr>
        <w:jc w:val="both"/>
        <w:rPr>
          <w:lang w:val="de-DE"/>
        </w:rPr>
      </w:pPr>
    </w:p>
    <w:p w14:paraId="528292C2" w14:textId="77777777" w:rsidR="004868C7" w:rsidRPr="004868C7" w:rsidRDefault="004868C7" w:rsidP="006151D9">
      <w:pPr>
        <w:jc w:val="both"/>
        <w:rPr>
          <w:lang w:val="de-DE"/>
        </w:rPr>
      </w:pPr>
    </w:p>
    <w:p w14:paraId="76450B25" w14:textId="77777777" w:rsidR="004868C7" w:rsidRPr="004868C7" w:rsidRDefault="004868C7" w:rsidP="006151D9">
      <w:pPr>
        <w:jc w:val="both"/>
        <w:rPr>
          <w:lang w:val="de-DE"/>
        </w:rPr>
      </w:pPr>
      <w:r w:rsidRPr="004868C7">
        <w:rPr>
          <w:lang w:val="de-DE"/>
        </w:rPr>
        <w:tab/>
        <w:t>Gegeben zu Brüssel, den 2. Juli 2025</w:t>
      </w:r>
    </w:p>
    <w:p w14:paraId="51C96F25" w14:textId="77777777" w:rsidR="004868C7" w:rsidRPr="004868C7" w:rsidRDefault="004868C7" w:rsidP="006151D9">
      <w:pPr>
        <w:jc w:val="both"/>
        <w:rPr>
          <w:lang w:val="de-DE"/>
        </w:rPr>
      </w:pPr>
    </w:p>
    <w:p w14:paraId="37B9BD14" w14:textId="77777777" w:rsidR="004868C7" w:rsidRPr="004868C7" w:rsidRDefault="004868C7" w:rsidP="006151D9">
      <w:pPr>
        <w:jc w:val="both"/>
        <w:rPr>
          <w:lang w:val="de-DE"/>
        </w:rPr>
      </w:pPr>
    </w:p>
    <w:p w14:paraId="6B976B8D" w14:textId="77777777" w:rsidR="004868C7" w:rsidRPr="004868C7" w:rsidRDefault="004868C7" w:rsidP="006151D9">
      <w:pPr>
        <w:jc w:val="center"/>
        <w:rPr>
          <w:lang w:val="de-DE"/>
        </w:rPr>
      </w:pPr>
      <w:r w:rsidRPr="004868C7">
        <w:rPr>
          <w:lang w:val="de-DE"/>
        </w:rPr>
        <w:t>PHILIPPE</w:t>
      </w:r>
    </w:p>
    <w:p w14:paraId="2B05DE69" w14:textId="77777777" w:rsidR="004868C7" w:rsidRPr="004868C7" w:rsidRDefault="004868C7" w:rsidP="006151D9">
      <w:pPr>
        <w:jc w:val="center"/>
        <w:rPr>
          <w:lang w:val="de-DE"/>
        </w:rPr>
      </w:pPr>
    </w:p>
    <w:p w14:paraId="1B322210" w14:textId="77777777" w:rsidR="004868C7" w:rsidRPr="004868C7" w:rsidRDefault="004868C7" w:rsidP="006151D9">
      <w:pPr>
        <w:jc w:val="center"/>
        <w:rPr>
          <w:lang w:val="de-DE"/>
        </w:rPr>
      </w:pPr>
      <w:r w:rsidRPr="004868C7">
        <w:rPr>
          <w:lang w:val="de-DE"/>
        </w:rPr>
        <w:t>Von Königs wegen:</w:t>
      </w:r>
    </w:p>
    <w:p w14:paraId="6D5170F7" w14:textId="77777777" w:rsidR="004868C7" w:rsidRPr="004868C7" w:rsidRDefault="004868C7" w:rsidP="006151D9">
      <w:pPr>
        <w:jc w:val="center"/>
        <w:rPr>
          <w:lang w:val="de-DE"/>
        </w:rPr>
      </w:pPr>
    </w:p>
    <w:p w14:paraId="68679390" w14:textId="77777777" w:rsidR="004868C7" w:rsidRPr="004868C7" w:rsidRDefault="004868C7" w:rsidP="006151D9">
      <w:pPr>
        <w:jc w:val="center"/>
        <w:rPr>
          <w:lang w:val="de-DE"/>
        </w:rPr>
      </w:pPr>
      <w:r w:rsidRPr="004868C7">
        <w:rPr>
          <w:lang w:val="de-DE"/>
        </w:rPr>
        <w:t>Der Minister der Volksgesundheit</w:t>
      </w:r>
    </w:p>
    <w:p w14:paraId="6894E170" w14:textId="77777777" w:rsidR="004868C7" w:rsidRPr="004868C7" w:rsidRDefault="004868C7" w:rsidP="006151D9">
      <w:pPr>
        <w:jc w:val="center"/>
        <w:rPr>
          <w:lang w:val="de-DE"/>
        </w:rPr>
      </w:pPr>
      <w:r w:rsidRPr="004868C7">
        <w:rPr>
          <w:lang w:val="de-DE"/>
        </w:rPr>
        <w:t>F. VANDENBROUCKE</w:t>
      </w:r>
    </w:p>
    <w:p w14:paraId="329975A2" w14:textId="77777777" w:rsidR="004868C7" w:rsidRPr="004868C7" w:rsidRDefault="004868C7" w:rsidP="006151D9">
      <w:pPr>
        <w:jc w:val="center"/>
        <w:rPr>
          <w:lang w:val="de-DE"/>
        </w:rPr>
      </w:pPr>
    </w:p>
    <w:p w14:paraId="68FBD42B" w14:textId="77777777" w:rsidR="00AA0401" w:rsidRPr="004868C7" w:rsidRDefault="00AA0401" w:rsidP="00A94F33">
      <w:pPr>
        <w:jc w:val="both"/>
        <w:rPr>
          <w:lang w:val="de-DE"/>
        </w:rPr>
      </w:pPr>
    </w:p>
    <w:sectPr w:rsidR="00AA0401" w:rsidRPr="004868C7" w:rsidSect="004868C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22AED"/>
    <w:rsid w:val="0009324D"/>
    <w:rsid w:val="000C2A98"/>
    <w:rsid w:val="000F5F44"/>
    <w:rsid w:val="0022531C"/>
    <w:rsid w:val="00266D2A"/>
    <w:rsid w:val="002855B4"/>
    <w:rsid w:val="003333CD"/>
    <w:rsid w:val="004868C7"/>
    <w:rsid w:val="0051470C"/>
    <w:rsid w:val="00682997"/>
    <w:rsid w:val="006F4381"/>
    <w:rsid w:val="007C7CFE"/>
    <w:rsid w:val="007D5F55"/>
    <w:rsid w:val="007E5F80"/>
    <w:rsid w:val="008327E5"/>
    <w:rsid w:val="009E0841"/>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A97CD"/>
  <w15:docId w15:val="{E3E535F1-21EF-4300-92C4-E21AB57E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8C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868C7"/>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2026-04-16T05:55:00Z</dcterms:created>
  <dcterms:modified xsi:type="dcterms:W3CDTF">2026-04-16T05:59:00Z</dcterms:modified>
</cp:coreProperties>
</file>