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990AF" w14:textId="77777777" w:rsidR="00FB7E02" w:rsidRPr="00FB7E02" w:rsidRDefault="00FB7E02" w:rsidP="00FB7E02">
      <w:pPr>
        <w:jc w:val="both"/>
        <w:rPr>
          <w:b/>
          <w:bCs/>
          <w:lang w:val="de-DE"/>
        </w:rPr>
      </w:pPr>
      <w:r w:rsidRPr="00FB7E02">
        <w:rPr>
          <w:b/>
          <w:bCs/>
          <w:lang w:val="de-DE"/>
        </w:rPr>
        <w:t>7. MAI 2024 -</w:t>
      </w:r>
      <w:r w:rsidRPr="00FB7E02">
        <w:rPr>
          <w:b/>
          <w:lang w:val="de-DE"/>
        </w:rPr>
        <w:t xml:space="preserve"> Gesetz zur Abänderung des Gesetzes vom 7. Mai 1999 über die Glücksspiele, die Wetten, die Glücksspieleinrichtungen und den Schutz der Spieler und zur Festlegung verschiedener Bestimmungen im Bereich Glücksspiele</w:t>
      </w:r>
    </w:p>
    <w:p w14:paraId="7E8EECAE" w14:textId="77777777" w:rsidR="00233F36" w:rsidRPr="00C80000" w:rsidRDefault="00233F36" w:rsidP="00127CA8">
      <w:pPr>
        <w:jc w:val="both"/>
        <w:rPr>
          <w:lang w:val="de-DE"/>
        </w:rPr>
      </w:pPr>
    </w:p>
    <w:p w14:paraId="4C1AC0F4" w14:textId="77777777" w:rsidR="00233F36" w:rsidRPr="00C80000" w:rsidRDefault="00233F36">
      <w:pPr>
        <w:rPr>
          <w:lang w:val="de-DE"/>
        </w:rPr>
      </w:pPr>
    </w:p>
    <w:p w14:paraId="3969204A" w14:textId="618523A6" w:rsidR="00233F36" w:rsidRPr="00C80000" w:rsidRDefault="00233F36" w:rsidP="000F5F44">
      <w:pPr>
        <w:jc w:val="center"/>
        <w:rPr>
          <w:i/>
          <w:lang w:val="de-DE"/>
        </w:rPr>
      </w:pPr>
      <w:r w:rsidRPr="00C80000">
        <w:rPr>
          <w:lang w:val="de-DE"/>
        </w:rPr>
        <w:t>(</w:t>
      </w:r>
      <w:r w:rsidRPr="00C80000">
        <w:rPr>
          <w:i/>
          <w:lang w:val="de-DE"/>
        </w:rPr>
        <w:t xml:space="preserve">Belgisches Staatsblatt </w:t>
      </w:r>
      <w:r w:rsidRPr="00C80000">
        <w:rPr>
          <w:lang w:val="de-DE"/>
        </w:rPr>
        <w:t>vom</w:t>
      </w:r>
      <w:r>
        <w:rPr>
          <w:lang w:val="de-DE"/>
        </w:rPr>
        <w:t xml:space="preserve"> </w:t>
      </w:r>
      <w:r w:rsidR="00FB7E02">
        <w:rPr>
          <w:lang w:val="de-DE"/>
        </w:rPr>
        <w:t>15. Januar 2026</w:t>
      </w:r>
      <w:r w:rsidRPr="00C80000">
        <w:rPr>
          <w:lang w:val="de-DE"/>
        </w:rPr>
        <w:t>)</w:t>
      </w:r>
    </w:p>
    <w:p w14:paraId="110893F2" w14:textId="77777777" w:rsidR="00233F36" w:rsidRPr="00127CA8" w:rsidRDefault="00233F36" w:rsidP="000F5F44">
      <w:pPr>
        <w:jc w:val="center"/>
        <w:rPr>
          <w:lang w:val="de-DE"/>
        </w:rPr>
      </w:pPr>
    </w:p>
    <w:p w14:paraId="11207552" w14:textId="77777777" w:rsidR="00233F36" w:rsidRPr="00C80000" w:rsidRDefault="00233F36" w:rsidP="00CA081B">
      <w:pPr>
        <w:jc w:val="center"/>
        <w:rPr>
          <w:lang w:val="de-DE"/>
        </w:rPr>
      </w:pPr>
    </w:p>
    <w:p w14:paraId="25418C6E" w14:textId="77777777" w:rsidR="00233F36" w:rsidRDefault="00233F36" w:rsidP="00CA081B">
      <w:pPr>
        <w:jc w:val="both"/>
        <w:rPr>
          <w:lang w:val="de-DE"/>
        </w:rPr>
      </w:pPr>
      <w:r w:rsidRPr="00C80000">
        <w:rPr>
          <w:lang w:val="de-DE"/>
        </w:rPr>
        <w:t>Diese deutsche Übersetzung ist von der Zentralen Dienststelle für Deutsche Übersetzungen in Malmedy erstellt worden.</w:t>
      </w:r>
    </w:p>
    <w:p w14:paraId="5EB50FEE" w14:textId="77777777" w:rsidR="00E1687C" w:rsidRDefault="00E1687C" w:rsidP="00CA081B">
      <w:pPr>
        <w:jc w:val="both"/>
        <w:rPr>
          <w:lang w:val="de-DE"/>
        </w:rPr>
      </w:pPr>
    </w:p>
    <w:p w14:paraId="63311199" w14:textId="77777777" w:rsidR="00E1687C" w:rsidRPr="00C80000" w:rsidRDefault="00E1687C" w:rsidP="00CA081B">
      <w:pPr>
        <w:jc w:val="both"/>
        <w:rPr>
          <w:lang w:val="de-DE"/>
        </w:rPr>
      </w:pPr>
    </w:p>
    <w:p w14:paraId="6C7D0940" w14:textId="77777777" w:rsidR="00233F36" w:rsidRDefault="00233F36" w:rsidP="006F4381">
      <w:pPr>
        <w:jc w:val="both"/>
        <w:rPr>
          <w:lang w:val="de-DE"/>
        </w:rPr>
        <w:sectPr w:rsidR="00233F36" w:rsidSect="0051470C">
          <w:pgSz w:w="11906" w:h="16838" w:code="9"/>
          <w:pgMar w:top="1418" w:right="1418" w:bottom="1418" w:left="1418" w:header="709" w:footer="709" w:gutter="0"/>
          <w:cols w:space="708"/>
          <w:vAlign w:val="center"/>
          <w:docGrid w:linePitch="360"/>
        </w:sectPr>
      </w:pPr>
    </w:p>
    <w:p w14:paraId="05135D9F" w14:textId="77777777" w:rsidR="00FB7E02" w:rsidRPr="00FB7E02" w:rsidRDefault="00FB7E02" w:rsidP="005E0EF3">
      <w:pPr>
        <w:jc w:val="center"/>
        <w:rPr>
          <w:b/>
          <w:bCs/>
          <w:caps/>
          <w:lang w:val="de-DE"/>
        </w:rPr>
      </w:pPr>
      <w:r w:rsidRPr="00FB7E02">
        <w:rPr>
          <w:b/>
          <w:caps/>
          <w:lang w:val="de-DE"/>
        </w:rPr>
        <w:lastRenderedPageBreak/>
        <w:t>FÖDERALER ÖFFENTLICHER DIENST JUSTIZ</w:t>
      </w:r>
    </w:p>
    <w:p w14:paraId="52FB4692" w14:textId="77777777" w:rsidR="00FB7E02" w:rsidRPr="00FB7E02" w:rsidRDefault="00FB7E02" w:rsidP="005E0EF3">
      <w:pPr>
        <w:jc w:val="both"/>
        <w:rPr>
          <w:lang w:val="de-DE"/>
        </w:rPr>
      </w:pPr>
    </w:p>
    <w:p w14:paraId="0CCF3685" w14:textId="77777777" w:rsidR="00FB7E02" w:rsidRPr="00FB7E02" w:rsidRDefault="00FB7E02" w:rsidP="005E0EF3">
      <w:pPr>
        <w:jc w:val="both"/>
        <w:rPr>
          <w:lang w:val="de-DE"/>
        </w:rPr>
      </w:pPr>
    </w:p>
    <w:p w14:paraId="046B39E0" w14:textId="77777777" w:rsidR="00FB7E02" w:rsidRPr="00FB7E02" w:rsidRDefault="00FB7E02" w:rsidP="005E0EF3">
      <w:pPr>
        <w:jc w:val="both"/>
        <w:rPr>
          <w:b/>
          <w:bCs/>
          <w:lang w:val="de-DE"/>
        </w:rPr>
      </w:pPr>
      <w:r w:rsidRPr="00FB7E02">
        <w:rPr>
          <w:b/>
          <w:bCs/>
          <w:lang w:val="de-DE"/>
        </w:rPr>
        <w:t>7. MAI 2024 -</w:t>
      </w:r>
      <w:r w:rsidRPr="00FB7E02">
        <w:rPr>
          <w:b/>
          <w:lang w:val="de-DE"/>
        </w:rPr>
        <w:t xml:space="preserve"> Gesetz zur Abänderung des Gesetzes vom 7. Mai 1999 über die Glücksspiele, die Wetten, die Glücksspieleinrichtungen und den Schutz der Spieler und zur Festlegung verschiedener Bestimmungen im Bereich Glücksspiele</w:t>
      </w:r>
    </w:p>
    <w:p w14:paraId="20980AA3" w14:textId="77777777" w:rsidR="00FB7E02" w:rsidRPr="00FB7E02" w:rsidRDefault="00FB7E02" w:rsidP="005E0EF3">
      <w:pPr>
        <w:jc w:val="both"/>
        <w:rPr>
          <w:lang w:val="de-DE"/>
        </w:rPr>
      </w:pPr>
    </w:p>
    <w:p w14:paraId="03DCD4E7" w14:textId="77777777" w:rsidR="00FB7E02" w:rsidRPr="00FB7E02" w:rsidRDefault="00FB7E02" w:rsidP="005E0EF3">
      <w:pPr>
        <w:jc w:val="both"/>
        <w:rPr>
          <w:lang w:val="de-DE"/>
        </w:rPr>
      </w:pPr>
    </w:p>
    <w:p w14:paraId="49E0528C" w14:textId="77777777" w:rsidR="00FB7E02" w:rsidRPr="00FB7E02" w:rsidRDefault="00FB7E02" w:rsidP="005E0EF3">
      <w:pPr>
        <w:ind w:left="1416" w:firstLine="708"/>
        <w:jc w:val="both"/>
        <w:rPr>
          <w:lang w:val="de-DE"/>
        </w:rPr>
      </w:pPr>
      <w:r w:rsidRPr="00FB7E02">
        <w:rPr>
          <w:lang w:val="de-DE"/>
        </w:rPr>
        <w:t>PHILIPPE, König der Belgier</w:t>
      </w:r>
    </w:p>
    <w:p w14:paraId="3DCB9A47" w14:textId="77777777" w:rsidR="00FB7E02" w:rsidRPr="00FB7E02" w:rsidRDefault="00FB7E02" w:rsidP="005E0EF3">
      <w:pPr>
        <w:ind w:left="1416" w:firstLine="708"/>
        <w:jc w:val="both"/>
        <w:rPr>
          <w:lang w:val="de-DE"/>
        </w:rPr>
      </w:pPr>
    </w:p>
    <w:p w14:paraId="46EA7254" w14:textId="77777777" w:rsidR="00FB7E02" w:rsidRPr="00FB7E02" w:rsidRDefault="00FB7E02" w:rsidP="005E0EF3">
      <w:pPr>
        <w:ind w:left="708" w:firstLine="708"/>
        <w:jc w:val="both"/>
        <w:rPr>
          <w:lang w:val="de-DE"/>
        </w:rPr>
      </w:pPr>
      <w:r w:rsidRPr="00FB7E02">
        <w:rPr>
          <w:lang w:val="de-DE"/>
        </w:rPr>
        <w:t xml:space="preserve">Allen Gegenwärtigen und </w:t>
      </w:r>
      <w:proofErr w:type="spellStart"/>
      <w:r w:rsidRPr="00FB7E02">
        <w:rPr>
          <w:lang w:val="de-DE"/>
        </w:rPr>
        <w:t>Zukünftigen</w:t>
      </w:r>
      <w:proofErr w:type="spellEnd"/>
      <w:r w:rsidRPr="00FB7E02">
        <w:rPr>
          <w:lang w:val="de-DE"/>
        </w:rPr>
        <w:t>, Unser Gruß!</w:t>
      </w:r>
    </w:p>
    <w:p w14:paraId="2B30E6DF" w14:textId="77777777" w:rsidR="00FB7E02" w:rsidRPr="00FB7E02" w:rsidRDefault="00FB7E02" w:rsidP="005E0EF3">
      <w:pPr>
        <w:ind w:left="708" w:firstLine="708"/>
        <w:jc w:val="both"/>
        <w:rPr>
          <w:lang w:val="de-DE"/>
        </w:rPr>
      </w:pPr>
    </w:p>
    <w:p w14:paraId="0E15B123" w14:textId="77777777" w:rsidR="00FB7E02" w:rsidRPr="00FB7E02" w:rsidRDefault="00FB7E02" w:rsidP="005E0EF3">
      <w:pPr>
        <w:ind w:left="708" w:firstLine="708"/>
        <w:jc w:val="both"/>
        <w:rPr>
          <w:lang w:val="de-DE"/>
        </w:rPr>
      </w:pPr>
    </w:p>
    <w:p w14:paraId="71394110" w14:textId="77777777" w:rsidR="00FB7E02" w:rsidRPr="00FB7E02" w:rsidRDefault="00FB7E02" w:rsidP="005E0EF3">
      <w:pPr>
        <w:ind w:firstLine="708"/>
        <w:jc w:val="both"/>
        <w:rPr>
          <w:lang w:val="de-DE"/>
        </w:rPr>
      </w:pPr>
      <w:r w:rsidRPr="00FB7E02">
        <w:rPr>
          <w:lang w:val="de-DE"/>
        </w:rPr>
        <w:t>Die Abgeordnetenkammer hat das Folgende angenommen und Wir sanktionieren es:</w:t>
      </w:r>
    </w:p>
    <w:p w14:paraId="3C81E93D" w14:textId="77777777" w:rsidR="00FB7E02" w:rsidRPr="00FB7E02" w:rsidRDefault="00FB7E02" w:rsidP="005E0EF3">
      <w:pPr>
        <w:ind w:firstLine="708"/>
        <w:jc w:val="both"/>
        <w:rPr>
          <w:lang w:val="de-DE"/>
        </w:rPr>
      </w:pPr>
    </w:p>
    <w:p w14:paraId="5EDDAEB0" w14:textId="77777777" w:rsidR="00FB7E02" w:rsidRPr="00FB7E02" w:rsidRDefault="00FB7E02" w:rsidP="005E0EF3">
      <w:pPr>
        <w:ind w:firstLine="708"/>
        <w:jc w:val="both"/>
        <w:rPr>
          <w:lang w:val="de-DE"/>
        </w:rPr>
      </w:pPr>
    </w:p>
    <w:p w14:paraId="7983747E" w14:textId="77777777" w:rsidR="00FB7E02" w:rsidRPr="00FB7E02" w:rsidRDefault="00FB7E02" w:rsidP="005E0EF3">
      <w:pPr>
        <w:jc w:val="center"/>
        <w:rPr>
          <w:lang w:val="de-DE"/>
        </w:rPr>
      </w:pPr>
      <w:r w:rsidRPr="00FB7E02">
        <w:rPr>
          <w:lang w:val="de-DE"/>
        </w:rPr>
        <w:t xml:space="preserve">KAPITEL 1 - </w:t>
      </w:r>
      <w:r w:rsidRPr="00FB7E02">
        <w:rPr>
          <w:i/>
          <w:iCs/>
          <w:lang w:val="de-DE"/>
        </w:rPr>
        <w:t>Allgemeine Bestimmung</w:t>
      </w:r>
    </w:p>
    <w:p w14:paraId="43190ED1" w14:textId="77777777" w:rsidR="00FB7E02" w:rsidRPr="00FB7E02" w:rsidRDefault="00FB7E02" w:rsidP="005E0EF3">
      <w:pPr>
        <w:jc w:val="both"/>
        <w:rPr>
          <w:lang w:val="de-DE"/>
        </w:rPr>
      </w:pPr>
    </w:p>
    <w:p w14:paraId="335A4A4F" w14:textId="77777777" w:rsidR="00FB7E02" w:rsidRPr="00FB7E02" w:rsidRDefault="00FB7E02" w:rsidP="005E0EF3">
      <w:pPr>
        <w:jc w:val="both"/>
        <w:rPr>
          <w:lang w:val="de-DE"/>
        </w:rPr>
      </w:pPr>
    </w:p>
    <w:p w14:paraId="29E17F22" w14:textId="77777777" w:rsidR="00FB7E02" w:rsidRPr="00FB7E02" w:rsidRDefault="00FB7E02" w:rsidP="005E0EF3">
      <w:pPr>
        <w:ind w:firstLine="708"/>
        <w:jc w:val="both"/>
        <w:rPr>
          <w:lang w:val="de-DE"/>
        </w:rPr>
      </w:pPr>
      <w:r w:rsidRPr="00FB7E02">
        <w:rPr>
          <w:b/>
          <w:bCs/>
          <w:lang w:val="de-DE"/>
        </w:rPr>
        <w:t>Artikel 1 -</w:t>
      </w:r>
      <w:r w:rsidRPr="00FB7E02">
        <w:rPr>
          <w:lang w:val="de-DE"/>
        </w:rPr>
        <w:t xml:space="preserve"> Vorliegendes Gesetz regelt eine in Artikel 74 der Verfassung erwähnte Angelegenheit.</w:t>
      </w:r>
    </w:p>
    <w:p w14:paraId="4AD70B4D" w14:textId="77777777" w:rsidR="00FB7E02" w:rsidRPr="00FB7E02" w:rsidRDefault="00FB7E02" w:rsidP="005E0EF3">
      <w:pPr>
        <w:jc w:val="both"/>
        <w:rPr>
          <w:lang w:val="de-DE"/>
        </w:rPr>
      </w:pPr>
    </w:p>
    <w:p w14:paraId="36D95B8B" w14:textId="77777777" w:rsidR="00FB7E02" w:rsidRPr="00FB7E02" w:rsidRDefault="00FB7E02" w:rsidP="005E0EF3">
      <w:pPr>
        <w:jc w:val="both"/>
        <w:rPr>
          <w:lang w:val="de-DE"/>
        </w:rPr>
      </w:pPr>
    </w:p>
    <w:p w14:paraId="4B99C3C7" w14:textId="77777777" w:rsidR="00FB7E02" w:rsidRPr="00FB7E02" w:rsidRDefault="00FB7E02" w:rsidP="005E0EF3">
      <w:pPr>
        <w:jc w:val="center"/>
        <w:rPr>
          <w:lang w:val="de-DE"/>
        </w:rPr>
      </w:pPr>
      <w:r w:rsidRPr="00FB7E02">
        <w:rPr>
          <w:lang w:val="de-DE"/>
        </w:rPr>
        <w:t xml:space="preserve">KAPITEL 2 - </w:t>
      </w:r>
      <w:r w:rsidRPr="00FB7E02">
        <w:rPr>
          <w:i/>
          <w:lang w:val="de-DE"/>
        </w:rPr>
        <w:t>Abänderungen des Gesetzes vom 7. Mai 1999 über die Glücksspiele, die Wetten, die Glücksspieleinrichtungen und den Schutz der Spieler</w:t>
      </w:r>
    </w:p>
    <w:p w14:paraId="64F892CA" w14:textId="77777777" w:rsidR="00FB7E02" w:rsidRPr="00FB7E02" w:rsidRDefault="00FB7E02" w:rsidP="005E0EF3">
      <w:pPr>
        <w:jc w:val="both"/>
        <w:rPr>
          <w:lang w:val="de-DE"/>
        </w:rPr>
      </w:pPr>
    </w:p>
    <w:p w14:paraId="2F2445FF" w14:textId="77777777" w:rsidR="00FB7E02" w:rsidRPr="00FB7E02" w:rsidRDefault="00FB7E02" w:rsidP="005E0EF3">
      <w:pPr>
        <w:jc w:val="both"/>
        <w:rPr>
          <w:lang w:val="de-DE"/>
        </w:rPr>
      </w:pPr>
    </w:p>
    <w:p w14:paraId="1D9E0FB8" w14:textId="77777777" w:rsidR="00FB7E02" w:rsidRPr="00FB7E02" w:rsidRDefault="00FB7E02" w:rsidP="005E0EF3">
      <w:pPr>
        <w:ind w:firstLine="708"/>
        <w:jc w:val="both"/>
        <w:rPr>
          <w:lang w:val="de-DE"/>
        </w:rPr>
      </w:pPr>
      <w:r w:rsidRPr="00FB7E02">
        <w:rPr>
          <w:b/>
          <w:lang w:val="de-DE"/>
        </w:rPr>
        <w:t>Art. 2 -</w:t>
      </w:r>
      <w:r w:rsidRPr="00FB7E02">
        <w:rPr>
          <w:lang w:val="de-DE"/>
        </w:rPr>
        <w:t xml:space="preserve"> Artikel 4 des Gesetzes vom 7. Mai 1999 über die Glücksspiele, die Wetten, die Glücksspieleinrichtungen und den Schutz der Spieler, ersetzt durch das Gesetz vom 10. Januar 2010, wird durch </w:t>
      </w:r>
      <w:proofErr w:type="gramStart"/>
      <w:r w:rsidRPr="00FB7E02">
        <w:rPr>
          <w:lang w:val="de-DE"/>
        </w:rPr>
        <w:t>Paragraphen</w:t>
      </w:r>
      <w:proofErr w:type="gramEnd"/>
      <w:r w:rsidRPr="00FB7E02">
        <w:rPr>
          <w:lang w:val="de-DE"/>
        </w:rPr>
        <w:t> 4 und 5 mit folgendem Wortlaut ergänzt:</w:t>
      </w:r>
    </w:p>
    <w:p w14:paraId="53CDD5A4" w14:textId="77777777" w:rsidR="00FB7E02" w:rsidRPr="00FB7E02" w:rsidRDefault="00FB7E02" w:rsidP="005E0EF3">
      <w:pPr>
        <w:jc w:val="both"/>
        <w:rPr>
          <w:lang w:val="de-DE"/>
        </w:rPr>
      </w:pPr>
    </w:p>
    <w:p w14:paraId="1A89DF94" w14:textId="77777777" w:rsidR="00FB7E02" w:rsidRPr="00FB7E02" w:rsidRDefault="00FB7E02" w:rsidP="005E0EF3">
      <w:pPr>
        <w:ind w:firstLine="708"/>
        <w:jc w:val="both"/>
        <w:rPr>
          <w:lang w:val="de-DE"/>
        </w:rPr>
      </w:pPr>
      <w:r w:rsidRPr="00FB7E02">
        <w:rPr>
          <w:lang w:val="de-DE"/>
        </w:rPr>
        <w:t>"§ 4 - Niemand darf unter gleich welcher Form personenbezogene Daten, die ihm nicht gehören, verwenden, um Zugang zu einer Glücksspieleinrichtung zu erhalten oder an einem Glücksspiel teilzunehmen.</w:t>
      </w:r>
    </w:p>
    <w:p w14:paraId="3652F2EE" w14:textId="77777777" w:rsidR="00FB7E02" w:rsidRPr="00FB7E02" w:rsidRDefault="00FB7E02" w:rsidP="005E0EF3">
      <w:pPr>
        <w:jc w:val="both"/>
        <w:rPr>
          <w:lang w:val="de-DE"/>
        </w:rPr>
      </w:pPr>
    </w:p>
    <w:p w14:paraId="273E56D9" w14:textId="77777777" w:rsidR="00FB7E02" w:rsidRPr="00FB7E02" w:rsidRDefault="00FB7E02" w:rsidP="005E0EF3">
      <w:pPr>
        <w:ind w:firstLine="708"/>
        <w:jc w:val="both"/>
        <w:rPr>
          <w:lang w:val="de-DE"/>
        </w:rPr>
      </w:pPr>
      <w:r w:rsidRPr="00FB7E02">
        <w:rPr>
          <w:lang w:val="de-DE"/>
        </w:rPr>
        <w:t>Niemand darf einer anderen Person personenbezogene Daten unter gleich welcher Form zur Verfügung zu stellen, wenn ihm bekannt ist, dass diese Daten verwendet werden, um Zugang zu einer Glücksspieleinrichtung zu erhalten oder an einem Glücksspiel teilzunehmen.</w:t>
      </w:r>
    </w:p>
    <w:p w14:paraId="1D969A20" w14:textId="77777777" w:rsidR="00FB7E02" w:rsidRPr="00FB7E02" w:rsidRDefault="00FB7E02" w:rsidP="005E0EF3">
      <w:pPr>
        <w:jc w:val="both"/>
        <w:rPr>
          <w:lang w:val="de-DE"/>
        </w:rPr>
      </w:pPr>
    </w:p>
    <w:p w14:paraId="35A3888E" w14:textId="77777777" w:rsidR="00FB7E02" w:rsidRPr="00FB7E02" w:rsidRDefault="00FB7E02" w:rsidP="005E0EF3">
      <w:pPr>
        <w:ind w:firstLine="708"/>
        <w:jc w:val="both"/>
        <w:rPr>
          <w:lang w:val="de-DE"/>
        </w:rPr>
      </w:pPr>
      <w:r w:rsidRPr="00FB7E02">
        <w:rPr>
          <w:lang w:val="de-DE"/>
        </w:rPr>
        <w:t xml:space="preserve">Für die Anwendung des vorliegenden </w:t>
      </w:r>
      <w:proofErr w:type="gramStart"/>
      <w:r w:rsidRPr="00FB7E02">
        <w:rPr>
          <w:lang w:val="de-DE"/>
        </w:rPr>
        <w:t>Paragraphen</w:t>
      </w:r>
      <w:proofErr w:type="gramEnd"/>
      <w:r w:rsidRPr="00FB7E02">
        <w:rPr>
          <w:lang w:val="de-DE"/>
        </w:rPr>
        <w:t xml:space="preserve"> versteht man unter "personenbezogenen Daten": personenbezogene Daten wie in Artikel 4 Nr. 1 der Verordnung (EU) 2016/679 des Europäischen Parlaments und des Rates vom 27. April 2016 zum Schutz natürlicher Personen bei der Verarbeitung personenbezogener Daten, zum freien Datenverkehr und zur Aufhebung der Richtlinie 95/46/EG (Datenschutz-Grundverordnung) bestimmt.</w:t>
      </w:r>
    </w:p>
    <w:p w14:paraId="5DBA7BA3" w14:textId="77777777" w:rsidR="00FB7E02" w:rsidRPr="00FB7E02" w:rsidRDefault="00FB7E02" w:rsidP="005E0EF3">
      <w:pPr>
        <w:jc w:val="both"/>
        <w:rPr>
          <w:lang w:val="de-DE"/>
        </w:rPr>
      </w:pPr>
    </w:p>
    <w:p w14:paraId="56260410" w14:textId="77777777" w:rsidR="00FB7E02" w:rsidRPr="00FB7E02" w:rsidRDefault="00FB7E02" w:rsidP="005E0EF3">
      <w:pPr>
        <w:ind w:firstLine="708"/>
        <w:jc w:val="both"/>
        <w:rPr>
          <w:lang w:val="de-DE"/>
        </w:rPr>
      </w:pPr>
      <w:r w:rsidRPr="00FB7E02">
        <w:rPr>
          <w:lang w:val="de-DE"/>
        </w:rPr>
        <w:t>§ 5 ­ Niemand darf Personen, denen der Zugang zu einer Glücksspieleinrichtung oder die Teilnahme an Glücksspielen in Anwendung von Artikel 54 untersagt ist, diesen Zugang oder diese Teilnahme erlauben."</w:t>
      </w:r>
    </w:p>
    <w:p w14:paraId="0B76D094" w14:textId="77777777" w:rsidR="00FB7E02" w:rsidRPr="00FB7E02" w:rsidRDefault="00FB7E02" w:rsidP="005E0EF3">
      <w:pPr>
        <w:jc w:val="both"/>
        <w:rPr>
          <w:lang w:val="de-DE"/>
        </w:rPr>
      </w:pPr>
    </w:p>
    <w:p w14:paraId="682C6D6B" w14:textId="77777777" w:rsidR="00FB7E02" w:rsidRPr="00FB7E02" w:rsidRDefault="00FB7E02" w:rsidP="005E0EF3">
      <w:pPr>
        <w:jc w:val="both"/>
        <w:rPr>
          <w:lang w:val="de-DE"/>
        </w:rPr>
      </w:pPr>
    </w:p>
    <w:p w14:paraId="0B6E8FCB" w14:textId="77777777" w:rsidR="00FB7E02" w:rsidRPr="00FB7E02" w:rsidRDefault="00FB7E02" w:rsidP="005E0EF3">
      <w:pPr>
        <w:ind w:firstLine="708"/>
        <w:jc w:val="both"/>
        <w:rPr>
          <w:lang w:val="de-DE"/>
        </w:rPr>
      </w:pPr>
      <w:r w:rsidRPr="00FB7E02">
        <w:rPr>
          <w:b/>
          <w:bCs/>
          <w:lang w:val="de-DE"/>
        </w:rPr>
        <w:t>Art. 3</w:t>
      </w:r>
      <w:r w:rsidRPr="00FB7E02">
        <w:rPr>
          <w:b/>
          <w:lang w:val="de-DE"/>
        </w:rPr>
        <w:t> </w:t>
      </w:r>
      <w:r w:rsidRPr="00FB7E02">
        <w:rPr>
          <w:b/>
          <w:bCs/>
          <w:lang w:val="de-DE"/>
        </w:rPr>
        <w:t>-</w:t>
      </w:r>
      <w:r w:rsidRPr="00FB7E02">
        <w:rPr>
          <w:lang w:val="de-DE"/>
        </w:rPr>
        <w:t xml:space="preserve"> In dasselbe Gesetz wird ein Artikel 8/1 mit folgendem Wortlaut eingefügt:</w:t>
      </w:r>
    </w:p>
    <w:p w14:paraId="2B8F2422" w14:textId="77777777" w:rsidR="00FB7E02" w:rsidRPr="00FB7E02" w:rsidRDefault="00FB7E02" w:rsidP="005E0EF3">
      <w:pPr>
        <w:jc w:val="both"/>
        <w:rPr>
          <w:lang w:val="de-DE"/>
        </w:rPr>
      </w:pPr>
    </w:p>
    <w:p w14:paraId="2D69E779" w14:textId="77777777" w:rsidR="00FB7E02" w:rsidRPr="00FB7E02" w:rsidRDefault="00FB7E02" w:rsidP="005E0EF3">
      <w:pPr>
        <w:ind w:firstLine="708"/>
        <w:jc w:val="both"/>
        <w:rPr>
          <w:lang w:val="de-DE"/>
        </w:rPr>
      </w:pPr>
      <w:r w:rsidRPr="00FB7E02">
        <w:rPr>
          <w:lang w:val="de-DE"/>
        </w:rPr>
        <w:t xml:space="preserve">"Art. 8/1 - Der in Artikel XVI.5 des Wirtschaftsgesetzbuches erwähnte </w:t>
      </w:r>
      <w:proofErr w:type="spellStart"/>
      <w:r w:rsidRPr="00FB7E02">
        <w:rPr>
          <w:lang w:val="de-DE"/>
        </w:rPr>
        <w:t>Ombudsdienst</w:t>
      </w:r>
      <w:proofErr w:type="spellEnd"/>
      <w:r w:rsidRPr="00FB7E02">
        <w:rPr>
          <w:lang w:val="de-DE"/>
        </w:rPr>
        <w:t xml:space="preserve"> für Verbraucher nimmt Anträge auf außergerichtliche Beilegung verbraucherrechtlicher Streitigkeiten im Zusammenhang mit Glücksspielen gemäß den in Buch XVI Titel </w:t>
      </w:r>
      <w:proofErr w:type="gramStart"/>
      <w:r w:rsidRPr="00FB7E02">
        <w:rPr>
          <w:lang w:val="de-DE"/>
        </w:rPr>
        <w:t>3</w:t>
      </w:r>
      <w:proofErr w:type="gramEnd"/>
      <w:r w:rsidRPr="00FB7E02">
        <w:rPr>
          <w:lang w:val="de-DE"/>
        </w:rPr>
        <w:t xml:space="preserve"> Kapitel 3 Abschnitt 2 desselben Gesetzbuches vorgesehenen Bestimmungen entgegen und behandelt diese.</w:t>
      </w:r>
    </w:p>
    <w:p w14:paraId="52E1CC7F" w14:textId="77777777" w:rsidR="00FB7E02" w:rsidRPr="00FB7E02" w:rsidRDefault="00FB7E02" w:rsidP="005E0EF3">
      <w:pPr>
        <w:jc w:val="both"/>
        <w:rPr>
          <w:lang w:val="de-DE"/>
        </w:rPr>
      </w:pPr>
    </w:p>
    <w:p w14:paraId="3B6EFF2D" w14:textId="77777777" w:rsidR="00FB7E02" w:rsidRPr="00FB7E02" w:rsidRDefault="00FB7E02" w:rsidP="005E0EF3">
      <w:pPr>
        <w:ind w:firstLine="708"/>
        <w:jc w:val="both"/>
        <w:rPr>
          <w:lang w:val="de-DE"/>
        </w:rPr>
      </w:pPr>
      <w:r w:rsidRPr="00FB7E02">
        <w:rPr>
          <w:lang w:val="de-DE"/>
        </w:rPr>
        <w:t xml:space="preserve">Betrifft der Antrag einen Verstoß gegen vorliegendes Gesetz oder seine Ausführungserlasse, leitet der </w:t>
      </w:r>
      <w:proofErr w:type="spellStart"/>
      <w:r w:rsidRPr="00FB7E02">
        <w:rPr>
          <w:lang w:val="de-DE"/>
        </w:rPr>
        <w:t>Ombudsdienst</w:t>
      </w:r>
      <w:proofErr w:type="spellEnd"/>
      <w:r w:rsidRPr="00FB7E02">
        <w:rPr>
          <w:lang w:val="de-DE"/>
        </w:rPr>
        <w:t xml:space="preserve"> für Verbraucher den Antrag an die Kommission weiter."</w:t>
      </w:r>
    </w:p>
    <w:p w14:paraId="2C402F6D" w14:textId="77777777" w:rsidR="00FB7E02" w:rsidRPr="00FB7E02" w:rsidRDefault="00FB7E02" w:rsidP="005E0EF3">
      <w:pPr>
        <w:jc w:val="both"/>
        <w:rPr>
          <w:lang w:val="de-DE"/>
        </w:rPr>
      </w:pPr>
    </w:p>
    <w:p w14:paraId="3568266A" w14:textId="77777777" w:rsidR="00FB7E02" w:rsidRPr="00FB7E02" w:rsidRDefault="00FB7E02" w:rsidP="005E0EF3">
      <w:pPr>
        <w:jc w:val="both"/>
        <w:rPr>
          <w:lang w:val="de-DE"/>
        </w:rPr>
      </w:pPr>
    </w:p>
    <w:p w14:paraId="779684B9" w14:textId="77777777" w:rsidR="00FB7E02" w:rsidRPr="00FB7E02" w:rsidRDefault="00FB7E02" w:rsidP="005E0EF3">
      <w:pPr>
        <w:ind w:firstLine="708"/>
        <w:jc w:val="both"/>
        <w:rPr>
          <w:lang w:val="de-DE"/>
        </w:rPr>
      </w:pPr>
      <w:r w:rsidRPr="00FB7E02">
        <w:rPr>
          <w:b/>
          <w:bCs/>
          <w:lang w:val="de-DE"/>
        </w:rPr>
        <w:t>Art. 4</w:t>
      </w:r>
      <w:r w:rsidRPr="00FB7E02">
        <w:rPr>
          <w:b/>
          <w:lang w:val="de-DE"/>
        </w:rPr>
        <w:t> </w:t>
      </w:r>
      <w:r w:rsidRPr="00FB7E02">
        <w:rPr>
          <w:b/>
          <w:bCs/>
          <w:lang w:val="de-DE"/>
        </w:rPr>
        <w:t>-</w:t>
      </w:r>
      <w:r w:rsidRPr="00FB7E02">
        <w:rPr>
          <w:lang w:val="de-DE"/>
        </w:rPr>
        <w:t xml:space="preserve"> In Artikel 15 § 1 Absatz 4 Nr. 2 desselben Gesetzes werden zwischen den Wörtern "aller Unterlagen" und dem Wort "verlangen" die Wörter "und insbesondere des in Artikel 55/4 erwähnten Berufsregisters und der Bilder der Überwachungskameras, die von den Betreibern unter Einhaltung des Gesetzes vom 21. März 2007 zur Regelung der Installation und des Einsatzes von Überwachungskameras installiert worden sind," eingefügt.</w:t>
      </w:r>
    </w:p>
    <w:p w14:paraId="646EB3B4" w14:textId="77777777" w:rsidR="00FB7E02" w:rsidRPr="00FB7E02" w:rsidRDefault="00FB7E02" w:rsidP="005E0EF3">
      <w:pPr>
        <w:jc w:val="both"/>
        <w:rPr>
          <w:lang w:val="de-DE"/>
        </w:rPr>
      </w:pPr>
    </w:p>
    <w:p w14:paraId="05F0DC08" w14:textId="77777777" w:rsidR="00FB7E02" w:rsidRPr="00FB7E02" w:rsidRDefault="00FB7E02" w:rsidP="005E0EF3">
      <w:pPr>
        <w:jc w:val="both"/>
        <w:rPr>
          <w:lang w:val="de-DE"/>
        </w:rPr>
      </w:pPr>
    </w:p>
    <w:p w14:paraId="0435D801" w14:textId="77777777" w:rsidR="00FB7E02" w:rsidRPr="00FB7E02" w:rsidRDefault="00FB7E02" w:rsidP="005E0EF3">
      <w:pPr>
        <w:ind w:firstLine="708"/>
        <w:jc w:val="both"/>
        <w:rPr>
          <w:lang w:val="de-DE"/>
        </w:rPr>
      </w:pPr>
      <w:r w:rsidRPr="00FB7E02">
        <w:rPr>
          <w:b/>
          <w:bCs/>
          <w:lang w:val="de-DE"/>
        </w:rPr>
        <w:t>Art. 5</w:t>
      </w:r>
      <w:r w:rsidRPr="00FB7E02">
        <w:rPr>
          <w:b/>
          <w:lang w:val="de-DE"/>
        </w:rPr>
        <w:t> </w:t>
      </w:r>
      <w:r w:rsidRPr="00FB7E02">
        <w:rPr>
          <w:b/>
          <w:bCs/>
          <w:lang w:val="de-DE"/>
        </w:rPr>
        <w:t>-</w:t>
      </w:r>
      <w:r w:rsidRPr="00FB7E02">
        <w:rPr>
          <w:lang w:val="de-DE"/>
        </w:rPr>
        <w:t xml:space="preserve"> Artikel 15/2 desselben Gesetzes, eingefügt durch das Gesetz vom 10. Januar 2010 und ersetzt durch das Gesetz vom 7. Mai 2019, wird wie folgt abgeändert:</w:t>
      </w:r>
    </w:p>
    <w:p w14:paraId="20AC6194" w14:textId="77777777" w:rsidR="00FB7E02" w:rsidRPr="00FB7E02" w:rsidRDefault="00FB7E02" w:rsidP="005E0EF3">
      <w:pPr>
        <w:jc w:val="both"/>
        <w:rPr>
          <w:lang w:val="de-DE"/>
        </w:rPr>
      </w:pPr>
    </w:p>
    <w:p w14:paraId="10281B9F" w14:textId="77777777" w:rsidR="00FB7E02" w:rsidRPr="00FB7E02" w:rsidRDefault="00FB7E02" w:rsidP="005E0EF3">
      <w:pPr>
        <w:ind w:firstLine="708"/>
        <w:jc w:val="both"/>
        <w:rPr>
          <w:lang w:val="de-DE"/>
        </w:rPr>
      </w:pPr>
      <w:r w:rsidRPr="00FB7E02">
        <w:rPr>
          <w:lang w:val="de-DE"/>
        </w:rPr>
        <w:t>1. In § 2 Absatz 1 Nr. 3 werden die Wörter "einer Person unter achtzehn Jahren" durch die Wörter "einer Person unter einundzwanzig Jahren" ersetzt.</w:t>
      </w:r>
    </w:p>
    <w:p w14:paraId="6DB866B8" w14:textId="77777777" w:rsidR="00FB7E02" w:rsidRPr="00FB7E02" w:rsidRDefault="00FB7E02" w:rsidP="005E0EF3">
      <w:pPr>
        <w:jc w:val="both"/>
        <w:rPr>
          <w:lang w:val="de-DE"/>
        </w:rPr>
      </w:pPr>
    </w:p>
    <w:p w14:paraId="56499761" w14:textId="77777777" w:rsidR="00FB7E02" w:rsidRPr="00FB7E02" w:rsidRDefault="00FB7E02" w:rsidP="005E0EF3">
      <w:pPr>
        <w:ind w:firstLine="708"/>
        <w:jc w:val="both"/>
        <w:rPr>
          <w:lang w:val="de-DE"/>
        </w:rPr>
      </w:pPr>
      <w:r w:rsidRPr="00FB7E02">
        <w:rPr>
          <w:lang w:val="de-DE"/>
        </w:rPr>
        <w:t>2. In § 3 Absatz 1 Nr. 2 werden die Wörter "einer Person unter achtzehn Jahren" durch die Wörter "einer Person unter einundzwanzig Jahren" ersetzt.</w:t>
      </w:r>
    </w:p>
    <w:p w14:paraId="60414BDD" w14:textId="77777777" w:rsidR="00FB7E02" w:rsidRPr="00FB7E02" w:rsidRDefault="00FB7E02" w:rsidP="005E0EF3">
      <w:pPr>
        <w:jc w:val="both"/>
        <w:rPr>
          <w:lang w:val="de-DE"/>
        </w:rPr>
      </w:pPr>
    </w:p>
    <w:p w14:paraId="44083F24" w14:textId="77777777" w:rsidR="00FB7E02" w:rsidRPr="00FB7E02" w:rsidRDefault="00FB7E02" w:rsidP="005E0EF3">
      <w:pPr>
        <w:jc w:val="both"/>
        <w:rPr>
          <w:lang w:val="de-DE"/>
        </w:rPr>
      </w:pPr>
    </w:p>
    <w:p w14:paraId="0B6B2A76" w14:textId="77777777" w:rsidR="00FB7E02" w:rsidRPr="00FB7E02" w:rsidRDefault="00FB7E02" w:rsidP="005E0EF3">
      <w:pPr>
        <w:ind w:firstLine="708"/>
        <w:jc w:val="both"/>
        <w:rPr>
          <w:lang w:val="de-DE"/>
        </w:rPr>
      </w:pPr>
      <w:r w:rsidRPr="00FB7E02">
        <w:rPr>
          <w:b/>
          <w:bCs/>
          <w:lang w:val="de-DE"/>
        </w:rPr>
        <w:t>Art. 6</w:t>
      </w:r>
      <w:r w:rsidRPr="00FB7E02">
        <w:rPr>
          <w:b/>
          <w:lang w:val="de-DE"/>
        </w:rPr>
        <w:t> </w:t>
      </w:r>
      <w:r w:rsidRPr="00FB7E02">
        <w:rPr>
          <w:b/>
          <w:bCs/>
          <w:lang w:val="de-DE"/>
        </w:rPr>
        <w:t>-</w:t>
      </w:r>
      <w:r w:rsidRPr="00FB7E02">
        <w:rPr>
          <w:lang w:val="de-DE"/>
        </w:rPr>
        <w:t xml:space="preserve"> In Artikel 15/3 § 1 desselben Gesetzes, eingefügt durch das Gesetz vom 10. Januar 2010, ersetzt durch das Gesetz vom 7. Mai 2019 und zuletzt abgeändert durch das Gesetz vom 18. Januar 2024, werden die Wörter "46, 54, 58, 60 und 62 und gegen die in Ausführung dieser Artikel und des Artikels 61 Absatz 2 erlassenen Bestimmungen" durch die Wörter "46, 58, 60, 61 Absatz 2 und 3 und gegen die in Ausführung dieser Artikel erlassenen Bestimmungen" ersetzt.</w:t>
      </w:r>
    </w:p>
    <w:p w14:paraId="2948B74D" w14:textId="77777777" w:rsidR="00FB7E02" w:rsidRPr="00FB7E02" w:rsidRDefault="00FB7E02" w:rsidP="005E0EF3">
      <w:pPr>
        <w:jc w:val="both"/>
        <w:rPr>
          <w:lang w:val="de-DE"/>
        </w:rPr>
      </w:pPr>
    </w:p>
    <w:p w14:paraId="65ACD4EB" w14:textId="77777777" w:rsidR="00FB7E02" w:rsidRPr="00FB7E02" w:rsidRDefault="00FB7E02" w:rsidP="005E0EF3">
      <w:pPr>
        <w:jc w:val="both"/>
        <w:rPr>
          <w:lang w:val="de-DE"/>
        </w:rPr>
      </w:pPr>
    </w:p>
    <w:p w14:paraId="3271344E" w14:textId="77777777" w:rsidR="00FB7E02" w:rsidRPr="00FB7E02" w:rsidRDefault="00FB7E02" w:rsidP="005E0EF3">
      <w:pPr>
        <w:ind w:firstLine="708"/>
        <w:jc w:val="both"/>
        <w:rPr>
          <w:lang w:val="de-DE"/>
        </w:rPr>
      </w:pPr>
      <w:r w:rsidRPr="00FB7E02">
        <w:rPr>
          <w:b/>
          <w:bCs/>
          <w:lang w:val="de-DE"/>
        </w:rPr>
        <w:t>Art. 7</w:t>
      </w:r>
      <w:r w:rsidRPr="00FB7E02">
        <w:rPr>
          <w:b/>
          <w:lang w:val="de-DE"/>
        </w:rPr>
        <w:t> </w:t>
      </w:r>
      <w:r w:rsidRPr="00FB7E02">
        <w:rPr>
          <w:b/>
          <w:bCs/>
          <w:lang w:val="de-DE"/>
        </w:rPr>
        <w:t>-</w:t>
      </w:r>
      <w:r w:rsidRPr="00FB7E02">
        <w:rPr>
          <w:lang w:val="de-DE"/>
        </w:rPr>
        <w:t xml:space="preserve"> In Artikel 20 desselben Gesetzes, abgeändert durch die Gesetze vom 10. Januar 2010 und 18. September 2017, wird Absatz 3 wie folgt ersetzt:</w:t>
      </w:r>
    </w:p>
    <w:p w14:paraId="3BF0749F" w14:textId="77777777" w:rsidR="00FB7E02" w:rsidRPr="00FB7E02" w:rsidRDefault="00FB7E02" w:rsidP="005E0EF3">
      <w:pPr>
        <w:jc w:val="both"/>
        <w:rPr>
          <w:lang w:val="de-DE"/>
        </w:rPr>
      </w:pPr>
    </w:p>
    <w:p w14:paraId="12B6BAE7" w14:textId="77777777" w:rsidR="00FB7E02" w:rsidRPr="00FB7E02" w:rsidRDefault="00FB7E02" w:rsidP="005E0EF3">
      <w:pPr>
        <w:ind w:firstLine="708"/>
        <w:jc w:val="both"/>
        <w:rPr>
          <w:lang w:val="de-DE"/>
        </w:rPr>
      </w:pPr>
      <w:r w:rsidRPr="00FB7E02">
        <w:rPr>
          <w:lang w:val="de-DE"/>
        </w:rPr>
        <w:t>"Die Kommission nimmt Klagen über die Anwendung und Einhaltung des vorliegenden Gesetzes und seiner Ausführungserlasse gemäß den von ihr festgelegten Modalitäten entgegen."</w:t>
      </w:r>
    </w:p>
    <w:p w14:paraId="072CD9CF" w14:textId="77777777" w:rsidR="00FB7E02" w:rsidRPr="00FB7E02" w:rsidRDefault="00FB7E02" w:rsidP="005E0EF3">
      <w:pPr>
        <w:jc w:val="both"/>
        <w:rPr>
          <w:lang w:val="de-DE"/>
        </w:rPr>
      </w:pPr>
    </w:p>
    <w:p w14:paraId="5EAC7BEA" w14:textId="77777777" w:rsidR="00FB7E02" w:rsidRPr="00FB7E02" w:rsidRDefault="00FB7E02" w:rsidP="005E0EF3">
      <w:pPr>
        <w:jc w:val="both"/>
        <w:rPr>
          <w:lang w:val="de-DE"/>
        </w:rPr>
      </w:pPr>
    </w:p>
    <w:p w14:paraId="0B3844D0" w14:textId="77777777" w:rsidR="00FB7E02" w:rsidRDefault="00FB7E02">
      <w:pPr>
        <w:rPr>
          <w:b/>
          <w:bCs/>
          <w:lang w:val="de-DE"/>
        </w:rPr>
      </w:pPr>
      <w:r>
        <w:rPr>
          <w:b/>
          <w:bCs/>
          <w:lang w:val="de-DE"/>
        </w:rPr>
        <w:br w:type="page"/>
      </w:r>
    </w:p>
    <w:p w14:paraId="1A1AB62C" w14:textId="4BB57437" w:rsidR="00FB7E02" w:rsidRPr="00FB7E02" w:rsidRDefault="00FB7E02" w:rsidP="005E0EF3">
      <w:pPr>
        <w:ind w:firstLine="708"/>
        <w:jc w:val="both"/>
        <w:rPr>
          <w:lang w:val="de-DE"/>
        </w:rPr>
      </w:pPr>
      <w:r w:rsidRPr="00FB7E02">
        <w:rPr>
          <w:b/>
          <w:bCs/>
          <w:lang w:val="de-DE"/>
        </w:rPr>
        <w:lastRenderedPageBreak/>
        <w:t>Art. 8</w:t>
      </w:r>
      <w:r w:rsidRPr="00FB7E02">
        <w:rPr>
          <w:b/>
          <w:lang w:val="de-DE"/>
        </w:rPr>
        <w:t> </w:t>
      </w:r>
      <w:r w:rsidRPr="00FB7E02">
        <w:rPr>
          <w:b/>
          <w:bCs/>
          <w:lang w:val="de-DE"/>
        </w:rPr>
        <w:t>-</w:t>
      </w:r>
      <w:r w:rsidRPr="00FB7E02">
        <w:rPr>
          <w:lang w:val="de-DE"/>
        </w:rPr>
        <w:t xml:space="preserve"> Artikel 24 desselben Gesetzes wird wie folgt ersetzt:</w:t>
      </w:r>
    </w:p>
    <w:p w14:paraId="0DCB7A9F" w14:textId="77777777" w:rsidR="00FB7E02" w:rsidRPr="00FB7E02" w:rsidRDefault="00FB7E02" w:rsidP="005E0EF3">
      <w:pPr>
        <w:jc w:val="both"/>
        <w:rPr>
          <w:lang w:val="de-DE"/>
        </w:rPr>
      </w:pPr>
    </w:p>
    <w:p w14:paraId="522BE7EC" w14:textId="77777777" w:rsidR="00FB7E02" w:rsidRPr="00FB7E02" w:rsidRDefault="00FB7E02" w:rsidP="005E0EF3">
      <w:pPr>
        <w:ind w:firstLine="708"/>
        <w:jc w:val="both"/>
        <w:rPr>
          <w:lang w:val="de-DE"/>
        </w:rPr>
      </w:pPr>
      <w:r w:rsidRPr="00FB7E02">
        <w:rPr>
          <w:lang w:val="de-DE"/>
        </w:rPr>
        <w:t>"Art. 24 ­ § 1 - Um den Schutz der Spieler zu verstärken, trifft die Kommission mindestens einmal pro Jahr die Vertreter der Lizenzinhaber, um von den Ansichten und Initiativen der Betreiber im Bereich verhaltensbezogene Süchte und hinsichtlich der Verschuldungsthematik sowie den Mitteln, die sie dafür aufwenden, Kenntnis zu nehmen.</w:t>
      </w:r>
    </w:p>
    <w:p w14:paraId="796D317B" w14:textId="77777777" w:rsidR="00FB7E02" w:rsidRPr="00FB7E02" w:rsidRDefault="00FB7E02" w:rsidP="005E0EF3">
      <w:pPr>
        <w:jc w:val="both"/>
        <w:rPr>
          <w:lang w:val="de-DE"/>
        </w:rPr>
      </w:pPr>
    </w:p>
    <w:p w14:paraId="6D103956" w14:textId="77777777" w:rsidR="00FB7E02" w:rsidRPr="00FB7E02" w:rsidRDefault="00FB7E02" w:rsidP="005E0EF3">
      <w:pPr>
        <w:ind w:firstLine="708"/>
        <w:jc w:val="both"/>
        <w:rPr>
          <w:lang w:val="de-DE"/>
        </w:rPr>
      </w:pPr>
      <w:r w:rsidRPr="00FB7E02">
        <w:rPr>
          <w:lang w:val="de-DE"/>
        </w:rPr>
        <w:t>Diese Informationen werden in dem in Artikel 16 erwähnten Bericht festgehalten.</w:t>
      </w:r>
    </w:p>
    <w:p w14:paraId="2274899C" w14:textId="77777777" w:rsidR="00FB7E02" w:rsidRPr="00FB7E02" w:rsidRDefault="00FB7E02" w:rsidP="005E0EF3">
      <w:pPr>
        <w:jc w:val="both"/>
        <w:rPr>
          <w:lang w:val="de-DE"/>
        </w:rPr>
      </w:pPr>
    </w:p>
    <w:p w14:paraId="6BCFF8C4" w14:textId="77777777" w:rsidR="00FB7E02" w:rsidRPr="00FB7E02" w:rsidRDefault="00FB7E02" w:rsidP="005E0EF3">
      <w:pPr>
        <w:ind w:firstLine="708"/>
        <w:jc w:val="both"/>
        <w:rPr>
          <w:lang w:val="de-DE"/>
        </w:rPr>
      </w:pPr>
      <w:r w:rsidRPr="00FB7E02">
        <w:rPr>
          <w:lang w:val="de-DE"/>
        </w:rPr>
        <w:t>§ 2 - Die Kommission kann in den Angelegenheiten, die in ihre Zuständigkeit fallen, nach Stellungnahme des Föderalen Öffentlichen Dienstes Volksgesundheit gemeinsame Protokolle zur technischen und praktischen Umsetzung der Gesetzes- und Verordnungs</w:t>
      </w:r>
      <w:r w:rsidRPr="00FB7E02">
        <w:rPr>
          <w:lang w:val="de-DE"/>
        </w:rPr>
        <w:softHyphen/>
        <w:t>bestimmungen erstellen.</w:t>
      </w:r>
    </w:p>
    <w:p w14:paraId="248761E7" w14:textId="77777777" w:rsidR="00FB7E02" w:rsidRPr="00FB7E02" w:rsidRDefault="00FB7E02" w:rsidP="005E0EF3">
      <w:pPr>
        <w:jc w:val="both"/>
        <w:rPr>
          <w:lang w:val="de-DE"/>
        </w:rPr>
      </w:pPr>
    </w:p>
    <w:p w14:paraId="78C3A791" w14:textId="77777777" w:rsidR="00FB7E02" w:rsidRPr="00FB7E02" w:rsidRDefault="00FB7E02" w:rsidP="005E0EF3">
      <w:pPr>
        <w:ind w:firstLine="708"/>
        <w:jc w:val="both"/>
        <w:rPr>
          <w:lang w:val="de-DE"/>
        </w:rPr>
      </w:pPr>
      <w:r w:rsidRPr="00FB7E02">
        <w:rPr>
          <w:lang w:val="de-DE"/>
        </w:rPr>
        <w:t>Wenn der Föderale Öffentliche Dienst Volksgesundheit innerhalb einer Frist von dreißig Tagen keine Stellungnahme oder keinen Antrag auf Verlängerung der Frist auf sechzig Tage an die Kommission richtet, wird das Verfahren ohne Stellungnahme fortgesetzt.</w:t>
      </w:r>
    </w:p>
    <w:p w14:paraId="05005EEA" w14:textId="77777777" w:rsidR="00FB7E02" w:rsidRPr="00FB7E02" w:rsidRDefault="00FB7E02" w:rsidP="005E0EF3">
      <w:pPr>
        <w:jc w:val="both"/>
        <w:rPr>
          <w:lang w:val="de-DE"/>
        </w:rPr>
      </w:pPr>
    </w:p>
    <w:p w14:paraId="7A45E696" w14:textId="77777777" w:rsidR="00FB7E02" w:rsidRPr="00FB7E02" w:rsidRDefault="00FB7E02" w:rsidP="005E0EF3">
      <w:pPr>
        <w:ind w:firstLine="708"/>
        <w:jc w:val="both"/>
        <w:rPr>
          <w:lang w:val="de-DE"/>
        </w:rPr>
      </w:pPr>
      <w:r w:rsidRPr="00FB7E02">
        <w:rPr>
          <w:lang w:val="de-DE"/>
        </w:rPr>
        <w:t xml:space="preserve">Die Kommission veröffentlicht diese Protokolle im </w:t>
      </w:r>
      <w:r w:rsidRPr="00FB7E02">
        <w:rPr>
          <w:i/>
          <w:lang w:val="de-DE"/>
        </w:rPr>
        <w:t>Belgischen Staatsblatt</w:t>
      </w:r>
      <w:r w:rsidRPr="00FB7E02">
        <w:rPr>
          <w:lang w:val="de-DE"/>
        </w:rPr>
        <w:t>."</w:t>
      </w:r>
    </w:p>
    <w:p w14:paraId="66ABEF71" w14:textId="77777777" w:rsidR="00FB7E02" w:rsidRPr="00FB7E02" w:rsidRDefault="00FB7E02" w:rsidP="005E0EF3">
      <w:pPr>
        <w:jc w:val="both"/>
        <w:rPr>
          <w:lang w:val="de-DE"/>
        </w:rPr>
      </w:pPr>
    </w:p>
    <w:p w14:paraId="6D0DB211" w14:textId="77777777" w:rsidR="00FB7E02" w:rsidRPr="00FB7E02" w:rsidRDefault="00FB7E02" w:rsidP="005E0EF3">
      <w:pPr>
        <w:jc w:val="both"/>
        <w:rPr>
          <w:lang w:val="de-DE"/>
        </w:rPr>
      </w:pPr>
    </w:p>
    <w:p w14:paraId="41752538" w14:textId="77777777" w:rsidR="00FB7E02" w:rsidRPr="00FB7E02" w:rsidRDefault="00FB7E02" w:rsidP="005E0EF3">
      <w:pPr>
        <w:ind w:firstLine="708"/>
        <w:jc w:val="both"/>
        <w:rPr>
          <w:lang w:val="de-DE"/>
        </w:rPr>
      </w:pPr>
      <w:r w:rsidRPr="00FB7E02">
        <w:rPr>
          <w:b/>
          <w:bCs/>
          <w:lang w:val="de-DE"/>
        </w:rPr>
        <w:t>Art. 9</w:t>
      </w:r>
      <w:r w:rsidRPr="00FB7E02">
        <w:rPr>
          <w:b/>
          <w:lang w:val="de-DE"/>
        </w:rPr>
        <w:t> </w:t>
      </w:r>
      <w:r w:rsidRPr="00FB7E02">
        <w:rPr>
          <w:b/>
          <w:bCs/>
          <w:lang w:val="de-DE"/>
        </w:rPr>
        <w:t>-</w:t>
      </w:r>
      <w:r w:rsidRPr="00FB7E02">
        <w:rPr>
          <w:lang w:val="de-DE"/>
        </w:rPr>
        <w:t xml:space="preserve"> In dasselbe Gesetz wird ein Artikel 42/1 mit folgendem Wortlaut eingefügt:</w:t>
      </w:r>
    </w:p>
    <w:p w14:paraId="4621B6AD" w14:textId="77777777" w:rsidR="00FB7E02" w:rsidRPr="00FB7E02" w:rsidRDefault="00FB7E02" w:rsidP="005E0EF3">
      <w:pPr>
        <w:jc w:val="both"/>
        <w:rPr>
          <w:lang w:val="de-DE"/>
        </w:rPr>
      </w:pPr>
    </w:p>
    <w:p w14:paraId="1669E2D1" w14:textId="77777777" w:rsidR="00FB7E02" w:rsidRPr="00FB7E02" w:rsidRDefault="00FB7E02" w:rsidP="005E0EF3">
      <w:pPr>
        <w:ind w:firstLine="708"/>
        <w:jc w:val="both"/>
        <w:rPr>
          <w:lang w:val="de-DE"/>
        </w:rPr>
      </w:pPr>
      <w:r w:rsidRPr="00FB7E02">
        <w:rPr>
          <w:lang w:val="de-DE"/>
        </w:rPr>
        <w:t>"Art. 42/1 - Um Inhaber einer C-Lizenz bleiben zu können, muss der Antragsteller weiterhin den in den Artikeln 41 und 42 aufgezählten Bedingungen genügen."</w:t>
      </w:r>
    </w:p>
    <w:p w14:paraId="772F28D7" w14:textId="77777777" w:rsidR="00FB7E02" w:rsidRPr="00FB7E02" w:rsidRDefault="00FB7E02" w:rsidP="005E0EF3">
      <w:pPr>
        <w:jc w:val="both"/>
        <w:rPr>
          <w:lang w:val="de-DE"/>
        </w:rPr>
      </w:pPr>
    </w:p>
    <w:p w14:paraId="673EB3CB" w14:textId="77777777" w:rsidR="00FB7E02" w:rsidRPr="00FB7E02" w:rsidRDefault="00FB7E02" w:rsidP="005E0EF3">
      <w:pPr>
        <w:jc w:val="both"/>
        <w:rPr>
          <w:lang w:val="de-DE"/>
        </w:rPr>
      </w:pPr>
    </w:p>
    <w:p w14:paraId="6B845DF7" w14:textId="77777777" w:rsidR="00FB7E02" w:rsidRPr="00FB7E02" w:rsidRDefault="00FB7E02" w:rsidP="005E0EF3">
      <w:pPr>
        <w:ind w:firstLine="708"/>
        <w:jc w:val="both"/>
        <w:rPr>
          <w:lang w:val="de-DE"/>
        </w:rPr>
      </w:pPr>
      <w:r w:rsidRPr="00FB7E02">
        <w:rPr>
          <w:b/>
          <w:bCs/>
          <w:lang w:val="de-DE"/>
        </w:rPr>
        <w:t>Art. 10</w:t>
      </w:r>
      <w:r w:rsidRPr="00FB7E02">
        <w:rPr>
          <w:b/>
          <w:lang w:val="de-DE"/>
        </w:rPr>
        <w:t> </w:t>
      </w:r>
      <w:r w:rsidRPr="00FB7E02">
        <w:rPr>
          <w:b/>
          <w:bCs/>
          <w:lang w:val="de-DE"/>
        </w:rPr>
        <w:t>-</w:t>
      </w:r>
      <w:r w:rsidRPr="00FB7E02">
        <w:rPr>
          <w:lang w:val="de-DE"/>
        </w:rPr>
        <w:t xml:space="preserve"> In Artikel 43/1 Absatz 1 desselben Gesetzes, eingefügt durch das Gesetz vom 10. Januar 2010 und abgeändert durch das Gesetz vom 7. Mai 2019, werden die Wörter "minderjährig ist" durch die Wörter "unter einundzwanzig Jahre als ist" ersetzt.</w:t>
      </w:r>
    </w:p>
    <w:p w14:paraId="5015CA29" w14:textId="77777777" w:rsidR="00FB7E02" w:rsidRPr="00FB7E02" w:rsidRDefault="00FB7E02" w:rsidP="005E0EF3">
      <w:pPr>
        <w:jc w:val="both"/>
        <w:rPr>
          <w:lang w:val="de-DE"/>
        </w:rPr>
      </w:pPr>
      <w:r w:rsidRPr="00FB7E02">
        <w:rPr>
          <w:lang w:val="de-DE"/>
        </w:rPr>
        <w:tab/>
      </w:r>
    </w:p>
    <w:p w14:paraId="6EF9636E" w14:textId="77777777" w:rsidR="00FB7E02" w:rsidRPr="00FB7E02" w:rsidRDefault="00FB7E02" w:rsidP="005E0EF3">
      <w:pPr>
        <w:jc w:val="both"/>
        <w:rPr>
          <w:lang w:val="de-DE"/>
        </w:rPr>
      </w:pPr>
    </w:p>
    <w:p w14:paraId="7068594F" w14:textId="77777777" w:rsidR="00FB7E02" w:rsidRPr="00FB7E02" w:rsidRDefault="00FB7E02" w:rsidP="005E0EF3">
      <w:pPr>
        <w:ind w:firstLine="708"/>
        <w:jc w:val="both"/>
        <w:rPr>
          <w:lang w:val="de-DE"/>
        </w:rPr>
      </w:pPr>
      <w:r w:rsidRPr="00FB7E02">
        <w:rPr>
          <w:b/>
          <w:bCs/>
          <w:lang w:val="de-DE"/>
        </w:rPr>
        <w:t>Art. 11</w:t>
      </w:r>
      <w:r w:rsidRPr="00FB7E02">
        <w:rPr>
          <w:b/>
          <w:lang w:val="de-DE"/>
        </w:rPr>
        <w:t> </w:t>
      </w:r>
      <w:r w:rsidRPr="00FB7E02">
        <w:rPr>
          <w:b/>
          <w:bCs/>
          <w:lang w:val="de-DE"/>
        </w:rPr>
        <w:t>-</w:t>
      </w:r>
      <w:r w:rsidRPr="00FB7E02">
        <w:rPr>
          <w:lang w:val="de-DE"/>
        </w:rPr>
        <w:t xml:space="preserve"> Artikel 43/8 desselben Gesetzes, eingefügt durch das Gesetz vom 10. Januar 2010 und abgeändert durch die Gesetze vom 7. Mai 2019 und 28. November 2021, wird wie folgt abgeändert:</w:t>
      </w:r>
    </w:p>
    <w:p w14:paraId="6E3730B2" w14:textId="77777777" w:rsidR="00FB7E02" w:rsidRPr="00FB7E02" w:rsidRDefault="00FB7E02" w:rsidP="005E0EF3">
      <w:pPr>
        <w:jc w:val="both"/>
        <w:rPr>
          <w:lang w:val="de-DE"/>
        </w:rPr>
      </w:pPr>
    </w:p>
    <w:p w14:paraId="56540663" w14:textId="77777777" w:rsidR="00FB7E02" w:rsidRPr="00FB7E02" w:rsidRDefault="00FB7E02" w:rsidP="005E0EF3">
      <w:pPr>
        <w:ind w:firstLine="708"/>
        <w:jc w:val="both"/>
        <w:rPr>
          <w:lang w:val="de-DE"/>
        </w:rPr>
      </w:pPr>
      <w:r w:rsidRPr="00FB7E02">
        <w:rPr>
          <w:lang w:val="de-DE"/>
        </w:rPr>
        <w:t>1. In § 2 Nr. 1 wird Buchstabe </w:t>
      </w:r>
      <w:r w:rsidRPr="00FB7E02">
        <w:rPr>
          <w:i/>
          <w:iCs/>
          <w:lang w:val="de-DE"/>
        </w:rPr>
        <w:t>e)</w:t>
      </w:r>
      <w:r w:rsidRPr="00FB7E02">
        <w:rPr>
          <w:lang w:val="de-DE"/>
        </w:rPr>
        <w:t xml:space="preserve"> aufgehoben.</w:t>
      </w:r>
    </w:p>
    <w:p w14:paraId="7085E931" w14:textId="77777777" w:rsidR="00FB7E02" w:rsidRPr="00FB7E02" w:rsidRDefault="00FB7E02" w:rsidP="005E0EF3">
      <w:pPr>
        <w:jc w:val="both"/>
        <w:rPr>
          <w:lang w:val="de-DE"/>
        </w:rPr>
      </w:pPr>
    </w:p>
    <w:p w14:paraId="5C4FE5D9" w14:textId="77777777" w:rsidR="00FB7E02" w:rsidRPr="00FB7E02" w:rsidRDefault="00FB7E02" w:rsidP="005E0EF3">
      <w:pPr>
        <w:ind w:firstLine="708"/>
        <w:jc w:val="both"/>
        <w:rPr>
          <w:lang w:val="de-DE"/>
        </w:rPr>
      </w:pPr>
      <w:r w:rsidRPr="00FB7E02">
        <w:rPr>
          <w:lang w:val="de-DE"/>
        </w:rPr>
        <w:t xml:space="preserve">2. </w:t>
      </w:r>
      <w:proofErr w:type="gramStart"/>
      <w:r w:rsidRPr="00FB7E02">
        <w:rPr>
          <w:lang w:val="de-DE"/>
        </w:rPr>
        <w:t>Paragraph</w:t>
      </w:r>
      <w:proofErr w:type="gramEnd"/>
      <w:r w:rsidRPr="00FB7E02">
        <w:rPr>
          <w:lang w:val="de-DE"/>
        </w:rPr>
        <w:t> 4 wird durch drei Absätze mit folgendem Wortlaut ergänzt:</w:t>
      </w:r>
    </w:p>
    <w:p w14:paraId="0031A927" w14:textId="77777777" w:rsidR="00FB7E02" w:rsidRPr="00FB7E02" w:rsidRDefault="00FB7E02" w:rsidP="005E0EF3">
      <w:pPr>
        <w:jc w:val="both"/>
        <w:rPr>
          <w:lang w:val="de-DE"/>
        </w:rPr>
      </w:pPr>
    </w:p>
    <w:p w14:paraId="0C32DF30" w14:textId="77777777" w:rsidR="00FB7E02" w:rsidRPr="00FB7E02" w:rsidRDefault="00FB7E02" w:rsidP="005E0EF3">
      <w:pPr>
        <w:ind w:firstLine="708"/>
        <w:jc w:val="both"/>
        <w:rPr>
          <w:lang w:val="de-DE"/>
        </w:rPr>
      </w:pPr>
      <w:r w:rsidRPr="00FB7E02">
        <w:rPr>
          <w:lang w:val="de-DE"/>
        </w:rPr>
        <w:t xml:space="preserve">"Die Kommission schreibt zudem eine Liste mit den URLs der Websites von Betreibern von Glücksspielen fort, bei denen sie feststellt, dass sie über Instrumente der Informationsgesellschaft Glücksspiele in Belgien anbieten, ohne hierfür über eine von ihr erteilte Lizenz zu verfügen. Die aktualisierte Liste wird im </w:t>
      </w:r>
      <w:r w:rsidRPr="00FB7E02">
        <w:rPr>
          <w:i/>
          <w:lang w:val="de-DE"/>
        </w:rPr>
        <w:t>Belgischen Staatsblatt</w:t>
      </w:r>
      <w:r w:rsidRPr="00FB7E02">
        <w:rPr>
          <w:lang w:val="de-DE"/>
        </w:rPr>
        <w:t xml:space="preserve"> veröffentlicht.</w:t>
      </w:r>
    </w:p>
    <w:p w14:paraId="16A8F9C0" w14:textId="77777777" w:rsidR="00FB7E02" w:rsidRPr="00FB7E02" w:rsidRDefault="00FB7E02" w:rsidP="005E0EF3">
      <w:pPr>
        <w:jc w:val="both"/>
        <w:rPr>
          <w:lang w:val="de-DE"/>
        </w:rPr>
      </w:pPr>
    </w:p>
    <w:p w14:paraId="6B81FD46" w14:textId="77777777" w:rsidR="00FB7E02" w:rsidRPr="00FB7E02" w:rsidRDefault="00FB7E02" w:rsidP="005E0EF3">
      <w:pPr>
        <w:ind w:firstLine="708"/>
        <w:jc w:val="both"/>
        <w:rPr>
          <w:lang w:val="de-DE"/>
        </w:rPr>
      </w:pPr>
      <w:r w:rsidRPr="00FB7E02">
        <w:rPr>
          <w:lang w:val="de-DE"/>
        </w:rPr>
        <w:t>Die in der in Absatz 2 erwähnten Liste eingetragenen URLs werden an die Internetanbieter im Sinne des Gesetzes vom 13. Juni 2005 über die elektronische Kommunikation weitergeleitet, damit diese den Zugang dazu so schnell wie möglich sperren können.</w:t>
      </w:r>
    </w:p>
    <w:p w14:paraId="74DE62C5" w14:textId="77777777" w:rsidR="00FB7E02" w:rsidRPr="00FB7E02" w:rsidRDefault="00FB7E02" w:rsidP="005E0EF3">
      <w:pPr>
        <w:jc w:val="both"/>
        <w:rPr>
          <w:lang w:val="de-DE"/>
        </w:rPr>
      </w:pPr>
    </w:p>
    <w:p w14:paraId="12801D39" w14:textId="77777777" w:rsidR="00FB7E02" w:rsidRPr="00FB7E02" w:rsidRDefault="00FB7E02" w:rsidP="005E0EF3">
      <w:pPr>
        <w:ind w:firstLine="708"/>
        <w:jc w:val="both"/>
        <w:rPr>
          <w:lang w:val="de-DE"/>
        </w:rPr>
      </w:pPr>
      <w:r w:rsidRPr="00FB7E02">
        <w:rPr>
          <w:lang w:val="de-DE"/>
        </w:rPr>
        <w:t>Der König kann weitere Modalitäten in Bezug auf die in Absatz 2 erwähnte Liste festlegen."</w:t>
      </w:r>
    </w:p>
    <w:p w14:paraId="57EDDEB6" w14:textId="77777777" w:rsidR="00FB7E02" w:rsidRPr="00FB7E02" w:rsidRDefault="00FB7E02" w:rsidP="005E0EF3">
      <w:pPr>
        <w:jc w:val="both"/>
        <w:rPr>
          <w:lang w:val="de-DE"/>
        </w:rPr>
      </w:pPr>
    </w:p>
    <w:p w14:paraId="5B85BF23" w14:textId="77777777" w:rsidR="00FB7E02" w:rsidRPr="00FB7E02" w:rsidRDefault="00FB7E02" w:rsidP="005E0EF3">
      <w:pPr>
        <w:jc w:val="both"/>
        <w:rPr>
          <w:lang w:val="de-DE"/>
        </w:rPr>
      </w:pPr>
    </w:p>
    <w:p w14:paraId="35028572" w14:textId="77777777" w:rsidR="00FB7E02" w:rsidRPr="00FB7E02" w:rsidRDefault="00FB7E02" w:rsidP="005E0EF3">
      <w:pPr>
        <w:ind w:firstLine="708"/>
        <w:jc w:val="both"/>
        <w:rPr>
          <w:lang w:val="de-DE"/>
        </w:rPr>
      </w:pPr>
      <w:r w:rsidRPr="00FB7E02">
        <w:rPr>
          <w:b/>
          <w:bCs/>
          <w:lang w:val="de-DE"/>
        </w:rPr>
        <w:t>Art. 12</w:t>
      </w:r>
      <w:r w:rsidRPr="00FB7E02">
        <w:rPr>
          <w:b/>
          <w:lang w:val="de-DE"/>
        </w:rPr>
        <w:t> </w:t>
      </w:r>
      <w:r w:rsidRPr="00FB7E02">
        <w:rPr>
          <w:b/>
          <w:bCs/>
          <w:lang w:val="de-DE"/>
        </w:rPr>
        <w:t>-</w:t>
      </w:r>
      <w:r w:rsidRPr="00FB7E02">
        <w:rPr>
          <w:lang w:val="de-DE"/>
        </w:rPr>
        <w:t xml:space="preserve"> Artikel 44 desselben Gesetzes, ersetzt durch das Gesetz vom 10. Januar 2010, wird wie folgt abgeändert:</w:t>
      </w:r>
    </w:p>
    <w:p w14:paraId="3CC63730" w14:textId="77777777" w:rsidR="00FB7E02" w:rsidRPr="00FB7E02" w:rsidRDefault="00FB7E02" w:rsidP="005E0EF3">
      <w:pPr>
        <w:jc w:val="both"/>
        <w:rPr>
          <w:lang w:val="de-DE"/>
        </w:rPr>
      </w:pPr>
    </w:p>
    <w:p w14:paraId="1B3FFEF0" w14:textId="77777777" w:rsidR="00FB7E02" w:rsidRPr="00FB7E02" w:rsidRDefault="00FB7E02" w:rsidP="005E0EF3">
      <w:pPr>
        <w:ind w:firstLine="708"/>
        <w:jc w:val="both"/>
        <w:rPr>
          <w:lang w:val="de-DE"/>
        </w:rPr>
      </w:pPr>
      <w:r w:rsidRPr="00FB7E02">
        <w:rPr>
          <w:lang w:val="de-DE"/>
        </w:rPr>
        <w:t>1. Die Wörter "und die Identifizierungskarte zum Nachweis, dass sie diese Lizenz besitzt, stets bei sich tragen" werden durch die Wörter "und den Nachweis dafür stets bei sich tragen" ersetzt.</w:t>
      </w:r>
    </w:p>
    <w:p w14:paraId="0123F025" w14:textId="77777777" w:rsidR="00FB7E02" w:rsidRPr="00FB7E02" w:rsidRDefault="00FB7E02" w:rsidP="005E0EF3">
      <w:pPr>
        <w:jc w:val="both"/>
        <w:rPr>
          <w:lang w:val="de-DE"/>
        </w:rPr>
      </w:pPr>
    </w:p>
    <w:p w14:paraId="5AC05C55" w14:textId="77777777" w:rsidR="00FB7E02" w:rsidRPr="00FB7E02" w:rsidRDefault="00FB7E02" w:rsidP="005E0EF3">
      <w:pPr>
        <w:ind w:firstLine="708"/>
        <w:jc w:val="both"/>
        <w:rPr>
          <w:lang w:val="de-DE"/>
        </w:rPr>
      </w:pPr>
      <w:r w:rsidRPr="00FB7E02">
        <w:rPr>
          <w:lang w:val="de-DE"/>
        </w:rPr>
        <w:t xml:space="preserve">2. </w:t>
      </w:r>
      <w:r w:rsidRPr="00FB7E02">
        <w:rPr>
          <w:i/>
          <w:iCs/>
          <w:lang w:val="de-DE"/>
        </w:rPr>
        <w:t>[Abänderung des niederländischen Textes]</w:t>
      </w:r>
    </w:p>
    <w:p w14:paraId="20A31F1F" w14:textId="77777777" w:rsidR="00FB7E02" w:rsidRPr="00FB7E02" w:rsidRDefault="00FB7E02" w:rsidP="005E0EF3">
      <w:pPr>
        <w:jc w:val="both"/>
        <w:rPr>
          <w:lang w:val="de-DE"/>
        </w:rPr>
      </w:pPr>
    </w:p>
    <w:p w14:paraId="2CED98F7" w14:textId="77777777" w:rsidR="00FB7E02" w:rsidRPr="00FB7E02" w:rsidRDefault="00FB7E02" w:rsidP="005E0EF3">
      <w:pPr>
        <w:jc w:val="both"/>
        <w:rPr>
          <w:lang w:val="de-DE"/>
        </w:rPr>
      </w:pPr>
    </w:p>
    <w:p w14:paraId="3212181E" w14:textId="77777777" w:rsidR="00FB7E02" w:rsidRPr="00FB7E02" w:rsidRDefault="00FB7E02" w:rsidP="005E0EF3">
      <w:pPr>
        <w:ind w:firstLine="708"/>
        <w:jc w:val="both"/>
        <w:rPr>
          <w:lang w:val="de-DE"/>
        </w:rPr>
      </w:pPr>
      <w:r w:rsidRPr="00FB7E02">
        <w:rPr>
          <w:b/>
          <w:bCs/>
          <w:lang w:val="de-DE"/>
        </w:rPr>
        <w:t>Art. 13</w:t>
      </w:r>
      <w:r w:rsidRPr="00FB7E02">
        <w:rPr>
          <w:b/>
          <w:lang w:val="de-DE"/>
        </w:rPr>
        <w:t> </w:t>
      </w:r>
      <w:r w:rsidRPr="00FB7E02">
        <w:rPr>
          <w:b/>
          <w:bCs/>
          <w:lang w:val="de-DE"/>
        </w:rPr>
        <w:t>-</w:t>
      </w:r>
      <w:r w:rsidRPr="00FB7E02">
        <w:rPr>
          <w:lang w:val="de-DE"/>
        </w:rPr>
        <w:t xml:space="preserve"> In Artikel 47 Nr. 1 desselben Gesetzes werden die Wörter "und der dazugehörigen Identifizierungskarte" aufgehoben.</w:t>
      </w:r>
    </w:p>
    <w:p w14:paraId="7B340F4F" w14:textId="77777777" w:rsidR="00FB7E02" w:rsidRPr="00FB7E02" w:rsidRDefault="00FB7E02" w:rsidP="005E0EF3">
      <w:pPr>
        <w:jc w:val="both"/>
        <w:rPr>
          <w:lang w:val="de-DE"/>
        </w:rPr>
      </w:pPr>
    </w:p>
    <w:p w14:paraId="173C56CB" w14:textId="77777777" w:rsidR="00FB7E02" w:rsidRPr="00FB7E02" w:rsidRDefault="00FB7E02" w:rsidP="005E0EF3">
      <w:pPr>
        <w:jc w:val="both"/>
        <w:rPr>
          <w:lang w:val="de-DE"/>
        </w:rPr>
      </w:pPr>
    </w:p>
    <w:p w14:paraId="00DA5E6D" w14:textId="77777777" w:rsidR="00FB7E02" w:rsidRPr="00FB7E02" w:rsidRDefault="00FB7E02" w:rsidP="005E0EF3">
      <w:pPr>
        <w:ind w:firstLine="708"/>
        <w:jc w:val="both"/>
        <w:rPr>
          <w:lang w:val="de-DE"/>
        </w:rPr>
      </w:pPr>
      <w:r w:rsidRPr="00FB7E02">
        <w:rPr>
          <w:b/>
          <w:bCs/>
          <w:lang w:val="de-DE"/>
        </w:rPr>
        <w:t>Art. 14</w:t>
      </w:r>
      <w:r w:rsidRPr="00FB7E02">
        <w:rPr>
          <w:b/>
          <w:lang w:val="de-DE"/>
        </w:rPr>
        <w:t> </w:t>
      </w:r>
      <w:r w:rsidRPr="00FB7E02">
        <w:rPr>
          <w:b/>
          <w:bCs/>
          <w:lang w:val="de-DE"/>
        </w:rPr>
        <w:t>-</w:t>
      </w:r>
      <w:r w:rsidRPr="00FB7E02">
        <w:rPr>
          <w:lang w:val="de-DE"/>
        </w:rPr>
        <w:t xml:space="preserve"> Artikel 54 § 3 desselben Gesetzes, abgeändert durch die Gesetze vom 10. Januar 2010 und 17. März 2013, wird wie folgt abgeändert:</w:t>
      </w:r>
    </w:p>
    <w:p w14:paraId="5465234F" w14:textId="77777777" w:rsidR="00FB7E02" w:rsidRPr="00FB7E02" w:rsidRDefault="00FB7E02" w:rsidP="005E0EF3">
      <w:pPr>
        <w:jc w:val="both"/>
        <w:rPr>
          <w:lang w:val="de-DE"/>
        </w:rPr>
      </w:pPr>
    </w:p>
    <w:p w14:paraId="470871E1" w14:textId="77777777" w:rsidR="00FB7E02" w:rsidRPr="00FB7E02" w:rsidRDefault="00FB7E02" w:rsidP="005E0EF3">
      <w:pPr>
        <w:ind w:firstLine="708"/>
        <w:jc w:val="both"/>
        <w:rPr>
          <w:lang w:val="de-DE"/>
        </w:rPr>
      </w:pPr>
      <w:r w:rsidRPr="00FB7E02">
        <w:rPr>
          <w:lang w:val="de-DE"/>
        </w:rPr>
        <w:t>1. Der einleitende Satz wird wie folgt ersetzt:</w:t>
      </w:r>
    </w:p>
    <w:p w14:paraId="2A05A46C" w14:textId="77777777" w:rsidR="00FB7E02" w:rsidRPr="00FB7E02" w:rsidRDefault="00FB7E02" w:rsidP="005E0EF3">
      <w:pPr>
        <w:jc w:val="both"/>
        <w:rPr>
          <w:lang w:val="de-DE"/>
        </w:rPr>
      </w:pPr>
    </w:p>
    <w:p w14:paraId="35819B5A" w14:textId="77777777" w:rsidR="00FB7E02" w:rsidRPr="00FB7E02" w:rsidRDefault="00FB7E02" w:rsidP="005E0EF3">
      <w:pPr>
        <w:ind w:firstLine="708"/>
        <w:jc w:val="both"/>
        <w:rPr>
          <w:lang w:val="de-DE"/>
        </w:rPr>
      </w:pPr>
      <w:r w:rsidRPr="00FB7E02">
        <w:rPr>
          <w:lang w:val="de-DE"/>
        </w:rPr>
        <w:t>"Inhaber von A- , A+- , B- , B+- , F1+- und F2-Lizenzen verweigern folgenden Personen, die den Spielsaal der Glücksspieleinrichtung betreten oder an Glücksspielen teilnehmen möchten und denen die Kommission den Zugang verboten hat, mit Ausnahme von Personen, die den Spielsaal zu beruflichen Zwecken betreten, den Zugang zu den Spielsälen der Glücksspieleinrichtungen der Klassen I und II oder der Glücksspieleinrichtungen der Klasse IV, die Teilnahme an Wetten außerhalb der Glücksspieleinrichtungen der Klasse IV und an Glücksspielen über Instrumente der Informationsgesellschaft:"</w:t>
      </w:r>
    </w:p>
    <w:p w14:paraId="4831968C" w14:textId="77777777" w:rsidR="00FB7E02" w:rsidRPr="00FB7E02" w:rsidRDefault="00FB7E02" w:rsidP="005E0EF3">
      <w:pPr>
        <w:jc w:val="both"/>
        <w:rPr>
          <w:lang w:val="de-DE"/>
        </w:rPr>
      </w:pPr>
    </w:p>
    <w:p w14:paraId="3169644F" w14:textId="77777777" w:rsidR="00FB7E02" w:rsidRPr="00FB7E02" w:rsidRDefault="00FB7E02" w:rsidP="005E0EF3">
      <w:pPr>
        <w:ind w:firstLine="708"/>
        <w:jc w:val="both"/>
        <w:rPr>
          <w:lang w:val="de-DE"/>
        </w:rPr>
      </w:pPr>
      <w:r w:rsidRPr="00FB7E02">
        <w:rPr>
          <w:lang w:val="de-DE"/>
        </w:rPr>
        <w:t>2. Nummer 4 wird wie folgt ersetzt:</w:t>
      </w:r>
    </w:p>
    <w:p w14:paraId="3339F04F" w14:textId="77777777" w:rsidR="00FB7E02" w:rsidRPr="00FB7E02" w:rsidRDefault="00FB7E02" w:rsidP="005E0EF3">
      <w:pPr>
        <w:jc w:val="both"/>
        <w:rPr>
          <w:lang w:val="de-DE"/>
        </w:rPr>
      </w:pPr>
    </w:p>
    <w:p w14:paraId="50C4D6B9" w14:textId="77777777" w:rsidR="00FB7E02" w:rsidRPr="00FB7E02" w:rsidRDefault="00FB7E02" w:rsidP="005E0EF3">
      <w:pPr>
        <w:ind w:firstLine="708"/>
        <w:jc w:val="both"/>
        <w:rPr>
          <w:lang w:val="de-DE"/>
        </w:rPr>
      </w:pPr>
      <w:r w:rsidRPr="00FB7E02">
        <w:rPr>
          <w:lang w:val="de-DE"/>
        </w:rPr>
        <w:t xml:space="preserve">"4. Personen, die unter Spielsucht leiden und denen die Kommission auf Antrag </w:t>
      </w:r>
      <w:proofErr w:type="gramStart"/>
      <w:r w:rsidRPr="00FB7E02">
        <w:rPr>
          <w:lang w:val="de-DE"/>
        </w:rPr>
        <w:t>eines Interesse</w:t>
      </w:r>
      <w:proofErr w:type="gramEnd"/>
      <w:r w:rsidRPr="00FB7E02">
        <w:rPr>
          <w:lang w:val="de-DE"/>
        </w:rPr>
        <w:t xml:space="preserve"> habenden Dritten den Zugang verweigert hat,".</w:t>
      </w:r>
    </w:p>
    <w:p w14:paraId="2A6E50BF" w14:textId="77777777" w:rsidR="00FB7E02" w:rsidRPr="00FB7E02" w:rsidRDefault="00FB7E02" w:rsidP="005E0EF3">
      <w:pPr>
        <w:jc w:val="both"/>
        <w:rPr>
          <w:lang w:val="de-DE"/>
        </w:rPr>
      </w:pPr>
    </w:p>
    <w:p w14:paraId="651C8B8C" w14:textId="77777777" w:rsidR="00FB7E02" w:rsidRPr="00FB7E02" w:rsidRDefault="00FB7E02" w:rsidP="005E0EF3">
      <w:pPr>
        <w:jc w:val="both"/>
        <w:rPr>
          <w:lang w:val="de-DE"/>
        </w:rPr>
      </w:pPr>
    </w:p>
    <w:p w14:paraId="132263BC" w14:textId="77777777" w:rsidR="00FB7E02" w:rsidRPr="00FB7E02" w:rsidRDefault="00FB7E02" w:rsidP="005E0EF3">
      <w:pPr>
        <w:ind w:firstLine="708"/>
        <w:jc w:val="both"/>
        <w:rPr>
          <w:lang w:val="de-DE"/>
        </w:rPr>
      </w:pPr>
      <w:r w:rsidRPr="00FB7E02">
        <w:rPr>
          <w:b/>
          <w:bCs/>
          <w:lang w:val="de-DE"/>
        </w:rPr>
        <w:t>Art. 15</w:t>
      </w:r>
      <w:r w:rsidRPr="00FB7E02">
        <w:rPr>
          <w:b/>
          <w:lang w:val="de-DE"/>
        </w:rPr>
        <w:t> </w:t>
      </w:r>
      <w:r w:rsidRPr="00FB7E02">
        <w:rPr>
          <w:b/>
          <w:bCs/>
          <w:lang w:val="de-DE"/>
        </w:rPr>
        <w:t>-</w:t>
      </w:r>
      <w:r w:rsidRPr="00FB7E02">
        <w:rPr>
          <w:lang w:val="de-DE"/>
        </w:rPr>
        <w:t xml:space="preserve"> In dasselbe Gesetz wird ein Artikel 54/1 mit folgendem Wortlaut eingefügt:</w:t>
      </w:r>
    </w:p>
    <w:p w14:paraId="2958F006" w14:textId="77777777" w:rsidR="00FB7E02" w:rsidRPr="00FB7E02" w:rsidRDefault="00FB7E02" w:rsidP="005E0EF3">
      <w:pPr>
        <w:jc w:val="both"/>
        <w:rPr>
          <w:lang w:val="de-DE"/>
        </w:rPr>
      </w:pPr>
    </w:p>
    <w:p w14:paraId="53FCF005" w14:textId="77777777" w:rsidR="00FB7E02" w:rsidRPr="00FB7E02" w:rsidRDefault="00FB7E02" w:rsidP="005E0EF3">
      <w:pPr>
        <w:ind w:firstLine="708"/>
        <w:jc w:val="both"/>
        <w:rPr>
          <w:lang w:val="de-DE"/>
        </w:rPr>
      </w:pPr>
      <w:r w:rsidRPr="00FB7E02">
        <w:rPr>
          <w:lang w:val="de-DE"/>
        </w:rPr>
        <w:t>"Art. 54/1 - § 1 - Inhaber von A-, A+-, B-, B+-, F1+- und F2-Lizenzen, mit Ausnahme von Inhabern einer F2-Lizenz wie in Artikel 43/4 § 5 Nr. 1 erwähnt, sind verpflichtet, jede Person zu identifizieren, die den Spielsaal der Glücksspieleinrichtung betritt oder an Glücksspielen teilnehmen möchte, mit Ausnahme von Personen, die den Spielsaal zu beruflichen Zwecken betreten.</w:t>
      </w:r>
    </w:p>
    <w:p w14:paraId="2990C17D" w14:textId="77777777" w:rsidR="00FB7E02" w:rsidRPr="00FB7E02" w:rsidRDefault="00FB7E02">
      <w:pPr>
        <w:rPr>
          <w:lang w:val="de-DE"/>
        </w:rPr>
      </w:pPr>
      <w:r w:rsidRPr="00FB7E02">
        <w:rPr>
          <w:lang w:val="de-DE"/>
        </w:rPr>
        <w:br w:type="page"/>
      </w:r>
    </w:p>
    <w:p w14:paraId="315BB1CD" w14:textId="77777777" w:rsidR="00FB7E02" w:rsidRPr="00FB7E02" w:rsidRDefault="00FB7E02" w:rsidP="005E0EF3">
      <w:pPr>
        <w:ind w:firstLine="708"/>
        <w:jc w:val="both"/>
        <w:rPr>
          <w:lang w:val="de-DE"/>
        </w:rPr>
      </w:pPr>
      <w:r w:rsidRPr="00FB7E02">
        <w:rPr>
          <w:lang w:val="de-DE"/>
        </w:rPr>
        <w:lastRenderedPageBreak/>
        <w:t>Mit dieser Identifizierung wird bezweckt:</w:t>
      </w:r>
    </w:p>
    <w:p w14:paraId="25C0D3B3" w14:textId="77777777" w:rsidR="00FB7E02" w:rsidRPr="00FB7E02" w:rsidRDefault="00FB7E02" w:rsidP="005E0EF3">
      <w:pPr>
        <w:jc w:val="both"/>
        <w:rPr>
          <w:lang w:val="de-DE"/>
        </w:rPr>
      </w:pPr>
    </w:p>
    <w:p w14:paraId="718645C7" w14:textId="77777777" w:rsidR="00FB7E02" w:rsidRPr="00FB7E02" w:rsidRDefault="00FB7E02" w:rsidP="005E0EF3">
      <w:pPr>
        <w:ind w:firstLine="708"/>
        <w:jc w:val="both"/>
        <w:rPr>
          <w:lang w:val="de-DE"/>
        </w:rPr>
      </w:pPr>
      <w:r w:rsidRPr="00FB7E02">
        <w:rPr>
          <w:lang w:val="de-DE"/>
        </w:rPr>
        <w:t>1. zu überprüfen, ob das vorgelegte Identitätsdokument tatsächlich der in Absatz 1 erwähnten Person gehört, die es vorlegt,</w:t>
      </w:r>
    </w:p>
    <w:p w14:paraId="472FD5A2" w14:textId="77777777" w:rsidR="00FB7E02" w:rsidRPr="00FB7E02" w:rsidRDefault="00FB7E02" w:rsidP="005E0EF3">
      <w:pPr>
        <w:jc w:val="both"/>
        <w:rPr>
          <w:lang w:val="de-DE"/>
        </w:rPr>
      </w:pPr>
    </w:p>
    <w:p w14:paraId="112388E3" w14:textId="77777777" w:rsidR="00FB7E02" w:rsidRPr="00FB7E02" w:rsidRDefault="00FB7E02" w:rsidP="005E0EF3">
      <w:pPr>
        <w:ind w:firstLine="708"/>
        <w:jc w:val="both"/>
        <w:rPr>
          <w:lang w:val="de-DE"/>
        </w:rPr>
      </w:pPr>
      <w:r w:rsidRPr="00FB7E02">
        <w:rPr>
          <w:lang w:val="de-DE"/>
        </w:rPr>
        <w:t xml:space="preserve">2. zu überprüfen, ob der in Absatz 1 erwähnten Person der Zugang zum Spielsaal der Glücksspieleinrichtung oder die Teilnahme an Glücksspielen in Anwendung von Artikel 54 §§ 1 bis 4 erlaubt ist. </w:t>
      </w:r>
    </w:p>
    <w:p w14:paraId="1B47288F" w14:textId="77777777" w:rsidR="00FB7E02" w:rsidRPr="00FB7E02" w:rsidRDefault="00FB7E02" w:rsidP="005E0EF3">
      <w:pPr>
        <w:jc w:val="both"/>
        <w:rPr>
          <w:lang w:val="de-DE"/>
        </w:rPr>
      </w:pPr>
    </w:p>
    <w:p w14:paraId="13EBC35A" w14:textId="77777777" w:rsidR="00FB7E02" w:rsidRPr="00FB7E02" w:rsidRDefault="00FB7E02" w:rsidP="005E0EF3">
      <w:pPr>
        <w:ind w:firstLine="708"/>
        <w:jc w:val="both"/>
        <w:rPr>
          <w:lang w:val="de-DE"/>
        </w:rPr>
      </w:pPr>
      <w:r w:rsidRPr="00FB7E02">
        <w:rPr>
          <w:lang w:val="de-DE"/>
        </w:rPr>
        <w:t>Bestehen Zweifel an der Richtigkeit oder Genauigkeit der Identifizierung der Person, untersagt der Lizenzinhaber ihr den Zugang zum Spielsaal der Glücksspieleinrichtung oder die Teilnahme am Glücksspiel.</w:t>
      </w:r>
    </w:p>
    <w:p w14:paraId="56B21F86" w14:textId="77777777" w:rsidR="00FB7E02" w:rsidRPr="00FB7E02" w:rsidRDefault="00FB7E02" w:rsidP="005E0EF3">
      <w:pPr>
        <w:jc w:val="both"/>
        <w:rPr>
          <w:lang w:val="de-DE"/>
        </w:rPr>
      </w:pPr>
    </w:p>
    <w:p w14:paraId="0A702AA1" w14:textId="77777777" w:rsidR="00FB7E02" w:rsidRPr="00FB7E02" w:rsidRDefault="00FB7E02" w:rsidP="005E0EF3">
      <w:pPr>
        <w:ind w:firstLine="708"/>
        <w:jc w:val="both"/>
        <w:rPr>
          <w:lang w:val="de-DE"/>
        </w:rPr>
      </w:pPr>
      <w:r w:rsidRPr="00FB7E02">
        <w:rPr>
          <w:lang w:val="de-DE"/>
        </w:rPr>
        <w:t>§ 2 ­ Für die in § 1 erwähnte Identifizierung sind folgende gültige Identitäts- und Aufenthaltsdokumente zugelassen:</w:t>
      </w:r>
    </w:p>
    <w:p w14:paraId="0C2018E4" w14:textId="77777777" w:rsidR="00FB7E02" w:rsidRPr="00FB7E02" w:rsidRDefault="00FB7E02" w:rsidP="005E0EF3">
      <w:pPr>
        <w:jc w:val="both"/>
        <w:rPr>
          <w:lang w:val="de-DE"/>
        </w:rPr>
      </w:pPr>
    </w:p>
    <w:p w14:paraId="4667915C" w14:textId="77777777" w:rsidR="00FB7E02" w:rsidRPr="00FB7E02" w:rsidRDefault="00FB7E02" w:rsidP="005E0EF3">
      <w:pPr>
        <w:ind w:firstLine="708"/>
        <w:jc w:val="both"/>
        <w:rPr>
          <w:lang w:val="de-DE"/>
        </w:rPr>
      </w:pPr>
      <w:r w:rsidRPr="00FB7E02">
        <w:rPr>
          <w:lang w:val="de-DE"/>
        </w:rPr>
        <w:t>1. der belgische elektronische Personalausweis,</w:t>
      </w:r>
    </w:p>
    <w:p w14:paraId="0E40488C" w14:textId="77777777" w:rsidR="00FB7E02" w:rsidRPr="00FB7E02" w:rsidRDefault="00FB7E02" w:rsidP="005E0EF3">
      <w:pPr>
        <w:jc w:val="both"/>
        <w:rPr>
          <w:lang w:val="de-DE"/>
        </w:rPr>
      </w:pPr>
    </w:p>
    <w:p w14:paraId="532BD955" w14:textId="77777777" w:rsidR="00FB7E02" w:rsidRPr="00FB7E02" w:rsidRDefault="00FB7E02" w:rsidP="005E0EF3">
      <w:pPr>
        <w:ind w:firstLine="708"/>
        <w:jc w:val="both"/>
        <w:rPr>
          <w:lang w:val="de-DE"/>
        </w:rPr>
      </w:pPr>
      <w:r w:rsidRPr="00FB7E02">
        <w:rPr>
          <w:lang w:val="de-DE"/>
        </w:rPr>
        <w:t>2. ein elektronischer Aufenthaltstitel oder eine elektronische Anmeldebescheinigung,</w:t>
      </w:r>
    </w:p>
    <w:p w14:paraId="543D6DBD" w14:textId="77777777" w:rsidR="00FB7E02" w:rsidRPr="00FB7E02" w:rsidRDefault="00FB7E02" w:rsidP="005E0EF3">
      <w:pPr>
        <w:jc w:val="both"/>
        <w:rPr>
          <w:lang w:val="de-DE"/>
        </w:rPr>
      </w:pPr>
    </w:p>
    <w:p w14:paraId="53A7E006" w14:textId="77777777" w:rsidR="00FB7E02" w:rsidRPr="00FB7E02" w:rsidRDefault="00FB7E02" w:rsidP="005E0EF3">
      <w:pPr>
        <w:ind w:firstLine="708"/>
        <w:jc w:val="both"/>
        <w:rPr>
          <w:lang w:val="de-DE"/>
        </w:rPr>
      </w:pPr>
      <w:r w:rsidRPr="00FB7E02">
        <w:rPr>
          <w:lang w:val="de-DE"/>
        </w:rPr>
        <w:t>3. der ausländische Personalausweis mit einem Chip,</w:t>
      </w:r>
    </w:p>
    <w:p w14:paraId="6A4A2363" w14:textId="77777777" w:rsidR="00FB7E02" w:rsidRPr="00FB7E02" w:rsidRDefault="00FB7E02" w:rsidP="005E0EF3">
      <w:pPr>
        <w:jc w:val="both"/>
        <w:rPr>
          <w:lang w:val="de-DE"/>
        </w:rPr>
      </w:pPr>
    </w:p>
    <w:p w14:paraId="393C8BAB" w14:textId="77777777" w:rsidR="00FB7E02" w:rsidRPr="00FB7E02" w:rsidRDefault="00FB7E02" w:rsidP="005E0EF3">
      <w:pPr>
        <w:ind w:firstLine="708"/>
        <w:jc w:val="both"/>
        <w:rPr>
          <w:lang w:val="de-DE"/>
        </w:rPr>
      </w:pPr>
      <w:r w:rsidRPr="00FB7E02">
        <w:rPr>
          <w:lang w:val="de-DE"/>
        </w:rPr>
        <w:t>4. die besonderen elektronischen Personalausweise, die den Kategorien der in diplomatischen und konsularischen Missionen tätigen Personalmitglieder und ihren Familienmitgliedern aufgrund des Wiener Übereinkommens vom 18. April 1961 über diplomatische Beziehungen und des Wiener Übereinkommens vom 24. April 1963 über konsularische Beziehungen sowie des Königlichen Erlasses vom 30. Oktober 1991 über die Dokumente für den Aufenthalt bestimmter Ausländer in Belgien ausgestellt werden,</w:t>
      </w:r>
    </w:p>
    <w:p w14:paraId="62C6FEE1" w14:textId="77777777" w:rsidR="00FB7E02" w:rsidRPr="00FB7E02" w:rsidRDefault="00FB7E02" w:rsidP="005E0EF3">
      <w:pPr>
        <w:jc w:val="both"/>
        <w:rPr>
          <w:lang w:val="de-DE"/>
        </w:rPr>
      </w:pPr>
    </w:p>
    <w:p w14:paraId="072CDCD3" w14:textId="77777777" w:rsidR="00FB7E02" w:rsidRPr="00FB7E02" w:rsidRDefault="00FB7E02" w:rsidP="005E0EF3">
      <w:pPr>
        <w:ind w:firstLine="708"/>
        <w:jc w:val="both"/>
        <w:rPr>
          <w:lang w:val="de-DE"/>
        </w:rPr>
      </w:pPr>
      <w:r w:rsidRPr="00FB7E02">
        <w:rPr>
          <w:lang w:val="de-DE"/>
        </w:rPr>
        <w:t>5. jedes andere vom König bestimmte Dokument, sofern der Königliche Erlass innerhalb sechs Monaten nach seiner Veröffentlichung durch Gesetz bestätigt wird.</w:t>
      </w:r>
    </w:p>
    <w:p w14:paraId="5F205162" w14:textId="77777777" w:rsidR="00FB7E02" w:rsidRPr="00FB7E02" w:rsidRDefault="00FB7E02" w:rsidP="005E0EF3">
      <w:pPr>
        <w:jc w:val="both"/>
        <w:rPr>
          <w:lang w:val="de-DE"/>
        </w:rPr>
      </w:pPr>
    </w:p>
    <w:p w14:paraId="75DF086C" w14:textId="77777777" w:rsidR="00FB7E02" w:rsidRPr="00FB7E02" w:rsidRDefault="00FB7E02" w:rsidP="005E0EF3">
      <w:pPr>
        <w:ind w:firstLine="708"/>
        <w:jc w:val="both"/>
        <w:rPr>
          <w:lang w:val="de-DE"/>
        </w:rPr>
      </w:pPr>
      <w:r w:rsidRPr="00FB7E02">
        <w:rPr>
          <w:lang w:val="de-DE"/>
        </w:rPr>
        <w:t>Für die Anwendung von § 1 Nr. 2 wird die in § 1 Absatz 1 erwähnte Person in EPIS anhand des Authentifizierungsmoduls der Dokumente wie in Absatz 1 erwähnt oder durch ein Erkennungsmittel authentifiziert, das die Anforderungen an das Sicherheitsniveau "substantiell" oder "hoch" erfüllt, wie in Abschnitt 2.2 des Anhangs der Durchführungs</w:t>
      </w:r>
      <w:r w:rsidRPr="00FB7E02">
        <w:rPr>
          <w:lang w:val="de-DE"/>
        </w:rPr>
        <w:softHyphen/>
        <w:t>verordnung (EU) 2015/1502 der Kommission vom 8. September 2015 zur Festlegung von Mindestanforderungen an technische Spezifikationen und Verfahren für Sicherheitsniveaus elektronischer Identifizierungsmittel gemäß Artikel 8 Absatz 3 der Verordnung (EU) Nr. 910/2014 des Europäischen Parlaments und des Rates über elektronische Identifizierung und Vertrauensdienste für elektronische Transaktionen im Binnenmarkt bestimmt.</w:t>
      </w:r>
    </w:p>
    <w:p w14:paraId="0852FFB0" w14:textId="77777777" w:rsidR="00FB7E02" w:rsidRPr="00FB7E02" w:rsidRDefault="00FB7E02" w:rsidP="005E0EF3">
      <w:pPr>
        <w:jc w:val="both"/>
        <w:rPr>
          <w:lang w:val="de-DE"/>
        </w:rPr>
      </w:pPr>
    </w:p>
    <w:p w14:paraId="7327BE81" w14:textId="77777777" w:rsidR="00FB7E02" w:rsidRPr="00FB7E02" w:rsidRDefault="00FB7E02" w:rsidP="005E0EF3">
      <w:pPr>
        <w:ind w:firstLine="708"/>
        <w:jc w:val="both"/>
        <w:rPr>
          <w:lang w:val="de-DE"/>
        </w:rPr>
      </w:pPr>
      <w:r w:rsidRPr="00FB7E02">
        <w:rPr>
          <w:lang w:val="de-DE"/>
        </w:rPr>
        <w:t>Wenn die Identifizierung und Authentifizierung durch ein in den Absätzen 1 und 2 erwähntes Mittel technisch nicht möglich sind, können nur folgende gültige Dokumente zugelassen werden:</w:t>
      </w:r>
    </w:p>
    <w:p w14:paraId="56C44436" w14:textId="77777777" w:rsidR="00FB7E02" w:rsidRPr="00FB7E02" w:rsidRDefault="00FB7E02" w:rsidP="005E0EF3">
      <w:pPr>
        <w:jc w:val="both"/>
        <w:rPr>
          <w:lang w:val="de-DE"/>
        </w:rPr>
      </w:pPr>
    </w:p>
    <w:p w14:paraId="4279B471" w14:textId="77777777" w:rsidR="00FB7E02" w:rsidRPr="00FB7E02" w:rsidRDefault="00FB7E02" w:rsidP="005E0EF3">
      <w:pPr>
        <w:ind w:firstLine="708"/>
        <w:jc w:val="both"/>
        <w:rPr>
          <w:lang w:val="de-DE"/>
        </w:rPr>
      </w:pPr>
      <w:r w:rsidRPr="00FB7E02">
        <w:rPr>
          <w:lang w:val="de-DE"/>
        </w:rPr>
        <w:t>1. ein anerkannter Reisepass oder ein gleichwertiges Reisedokument,</w:t>
      </w:r>
    </w:p>
    <w:p w14:paraId="520C314F" w14:textId="77777777" w:rsidR="00FB7E02" w:rsidRPr="00FB7E02" w:rsidRDefault="00FB7E02" w:rsidP="005E0EF3">
      <w:pPr>
        <w:jc w:val="both"/>
        <w:rPr>
          <w:lang w:val="de-DE"/>
        </w:rPr>
      </w:pPr>
    </w:p>
    <w:p w14:paraId="38CC90DF" w14:textId="77777777" w:rsidR="00FB7E02" w:rsidRPr="00FB7E02" w:rsidRDefault="00FB7E02" w:rsidP="005E0EF3">
      <w:pPr>
        <w:ind w:firstLine="708"/>
        <w:jc w:val="both"/>
        <w:rPr>
          <w:lang w:val="de-DE"/>
        </w:rPr>
      </w:pPr>
      <w:r w:rsidRPr="00FB7E02">
        <w:rPr>
          <w:lang w:val="de-DE"/>
        </w:rPr>
        <w:t>2. ein Personalausweis, der von einem anderen Mitgliedstaat des Europäischen Wirtschaftsraums ausgestellt worden ist,</w:t>
      </w:r>
    </w:p>
    <w:p w14:paraId="1ADE8771" w14:textId="77777777" w:rsidR="00FB7E02" w:rsidRPr="00FB7E02" w:rsidRDefault="00FB7E02" w:rsidP="005E0EF3">
      <w:pPr>
        <w:jc w:val="both"/>
        <w:rPr>
          <w:lang w:val="de-DE"/>
        </w:rPr>
      </w:pPr>
    </w:p>
    <w:p w14:paraId="65FEB804" w14:textId="77777777" w:rsidR="00FB7E02" w:rsidRPr="00FB7E02" w:rsidRDefault="00FB7E02" w:rsidP="005E0EF3">
      <w:pPr>
        <w:ind w:firstLine="708"/>
        <w:jc w:val="both"/>
        <w:rPr>
          <w:lang w:val="de-DE"/>
        </w:rPr>
      </w:pPr>
      <w:r w:rsidRPr="00FB7E02">
        <w:rPr>
          <w:lang w:val="de-DE"/>
        </w:rPr>
        <w:t>3. ein Aufenthaltstitel oder eine Anmeldebescheinigung ohne Chip.</w:t>
      </w:r>
    </w:p>
    <w:p w14:paraId="77E6539B" w14:textId="77777777" w:rsidR="00FB7E02" w:rsidRPr="00FB7E02" w:rsidRDefault="00FB7E02" w:rsidP="005E0EF3">
      <w:pPr>
        <w:jc w:val="both"/>
        <w:rPr>
          <w:lang w:val="de-DE"/>
        </w:rPr>
      </w:pPr>
    </w:p>
    <w:p w14:paraId="5A225F90" w14:textId="77777777" w:rsidR="00FB7E02" w:rsidRPr="00FB7E02" w:rsidRDefault="00FB7E02" w:rsidP="005E0EF3">
      <w:pPr>
        <w:ind w:firstLine="708"/>
        <w:jc w:val="both"/>
        <w:rPr>
          <w:lang w:val="de-DE"/>
        </w:rPr>
      </w:pPr>
      <w:r w:rsidRPr="00FB7E02">
        <w:rPr>
          <w:lang w:val="de-DE"/>
        </w:rPr>
        <w:t>Der König kann andere Identitätsdokumente oder Aufenthaltstitel bestimmen, sofern der Königliche Erlass innerhalb sechs Monaten nach seiner Veröffentlichung durch Gesetz bestätigt wird.</w:t>
      </w:r>
    </w:p>
    <w:p w14:paraId="73B8F3B2" w14:textId="77777777" w:rsidR="00FB7E02" w:rsidRPr="00FB7E02" w:rsidRDefault="00FB7E02" w:rsidP="005E0EF3">
      <w:pPr>
        <w:jc w:val="both"/>
        <w:rPr>
          <w:lang w:val="de-DE"/>
        </w:rPr>
      </w:pPr>
    </w:p>
    <w:p w14:paraId="1969F272" w14:textId="77777777" w:rsidR="00FB7E02" w:rsidRPr="00FB7E02" w:rsidRDefault="00FB7E02" w:rsidP="005E0EF3">
      <w:pPr>
        <w:ind w:firstLine="708"/>
        <w:jc w:val="both"/>
        <w:rPr>
          <w:lang w:val="de-DE"/>
        </w:rPr>
      </w:pPr>
      <w:r w:rsidRPr="00FB7E02">
        <w:rPr>
          <w:lang w:val="de-DE"/>
        </w:rPr>
        <w:t>§ 3 ­ Die in Artikel 43/4 § 5 Nr. 1 erwähnten Inhaber einer F2-Lizenz überprüfen das Alter des Spielers und authentifizieren ihn in EPIS in Anwendung von Artikel 54 anhand eines geeigneten Datenverarbeitungssystems, das sich auf dem Apparat befindet und von einer in Artikel 52 Absatz 2 zweiter Gedankenstrich erwähnten akkreditierten Stelle zertifiziert worden ist.</w:t>
      </w:r>
    </w:p>
    <w:p w14:paraId="1086BFC8" w14:textId="77777777" w:rsidR="00FB7E02" w:rsidRPr="00FB7E02" w:rsidRDefault="00FB7E02" w:rsidP="005E0EF3">
      <w:pPr>
        <w:jc w:val="both"/>
        <w:rPr>
          <w:lang w:val="de-DE"/>
        </w:rPr>
      </w:pPr>
    </w:p>
    <w:p w14:paraId="1C781042" w14:textId="77777777" w:rsidR="00FB7E02" w:rsidRPr="00FB7E02" w:rsidRDefault="00FB7E02" w:rsidP="005E0EF3">
      <w:pPr>
        <w:ind w:firstLine="708"/>
        <w:jc w:val="both"/>
        <w:rPr>
          <w:lang w:val="de-DE"/>
        </w:rPr>
      </w:pPr>
      <w:r w:rsidRPr="00FB7E02">
        <w:rPr>
          <w:lang w:val="de-DE"/>
        </w:rPr>
        <w:t>Die Kontrolle des Alters des Spielers und die Authentifizierung in EPIS erfolgen anhand eines in § 2 Absatz 1 Nr. 1 bis 4 erwähnten gültigen Identitäts- oder Aufenthaltsdokuments.</w:t>
      </w:r>
    </w:p>
    <w:p w14:paraId="45147B15" w14:textId="77777777" w:rsidR="00FB7E02" w:rsidRPr="00FB7E02" w:rsidRDefault="00FB7E02" w:rsidP="005E0EF3">
      <w:pPr>
        <w:jc w:val="both"/>
        <w:rPr>
          <w:lang w:val="de-DE"/>
        </w:rPr>
      </w:pPr>
    </w:p>
    <w:p w14:paraId="3DC2BCEE" w14:textId="77777777" w:rsidR="00FB7E02" w:rsidRPr="00FB7E02" w:rsidRDefault="00FB7E02" w:rsidP="005E0EF3">
      <w:pPr>
        <w:ind w:firstLine="708"/>
        <w:jc w:val="both"/>
        <w:rPr>
          <w:lang w:val="de-DE"/>
        </w:rPr>
      </w:pPr>
      <w:r w:rsidRPr="00FB7E02">
        <w:rPr>
          <w:lang w:val="de-DE"/>
        </w:rPr>
        <w:t>Außer in dem in Artikel 55/5 § 1 Absatz 2 erwähnten Fall wird das Alter des Spielers automatisch durch Auslesung dieser Information auf einem der in § 2 Absatz 1 Nr. 1 bis 4 erwähnten Dokumente kontrolliert.</w:t>
      </w:r>
    </w:p>
    <w:p w14:paraId="72D6CA4E" w14:textId="77777777" w:rsidR="00FB7E02" w:rsidRPr="00FB7E02" w:rsidRDefault="00FB7E02" w:rsidP="005E0EF3">
      <w:pPr>
        <w:jc w:val="both"/>
        <w:rPr>
          <w:lang w:val="de-DE"/>
        </w:rPr>
      </w:pPr>
    </w:p>
    <w:p w14:paraId="351BF5FE" w14:textId="77777777" w:rsidR="00FB7E02" w:rsidRPr="00FB7E02" w:rsidRDefault="00FB7E02" w:rsidP="005E0EF3">
      <w:pPr>
        <w:ind w:firstLine="708"/>
        <w:jc w:val="both"/>
        <w:rPr>
          <w:lang w:val="de-DE"/>
        </w:rPr>
      </w:pPr>
      <w:r w:rsidRPr="00FB7E02">
        <w:rPr>
          <w:lang w:val="de-DE"/>
        </w:rPr>
        <w:t>Der Apparat darf nicht eingeschaltet werden, wenn dem Spieler in Anwendung von Artikel 54 die Teilnahme an Glücksspielen untersagt ist.</w:t>
      </w:r>
    </w:p>
    <w:p w14:paraId="0CB8DB3B" w14:textId="77777777" w:rsidR="00FB7E02" w:rsidRPr="00FB7E02" w:rsidRDefault="00FB7E02" w:rsidP="005E0EF3">
      <w:pPr>
        <w:jc w:val="both"/>
        <w:rPr>
          <w:lang w:val="de-DE"/>
        </w:rPr>
      </w:pPr>
    </w:p>
    <w:p w14:paraId="2ABF24A0" w14:textId="77777777" w:rsidR="00FB7E02" w:rsidRPr="00FB7E02" w:rsidRDefault="00FB7E02" w:rsidP="005E0EF3">
      <w:pPr>
        <w:ind w:firstLine="708"/>
        <w:jc w:val="both"/>
        <w:rPr>
          <w:lang w:val="de-DE"/>
        </w:rPr>
      </w:pPr>
      <w:r w:rsidRPr="00FB7E02">
        <w:rPr>
          <w:lang w:val="de-DE"/>
        </w:rPr>
        <w:t>§ 4 ­ Zum Zeitpunkt der EPIS-Kontrolle wird nur die Information, dass der Person, die kontrolliert wird, der Zugang verweigert oder die Teilnahme an Glücksspielen untersagt ist, an die von dem in § 1 erwähnten Lizenzinhaber ermächtigte Person, die mit dieser Kontrolle beauftragt ist, oder an die EDV-Anwendung, die die Einschaltung des in § 3 erwähnten Apparats auslöst, mitgeteilt."</w:t>
      </w:r>
    </w:p>
    <w:p w14:paraId="01ECDED4" w14:textId="77777777" w:rsidR="00FB7E02" w:rsidRPr="00FB7E02" w:rsidRDefault="00FB7E02" w:rsidP="005E0EF3">
      <w:pPr>
        <w:jc w:val="both"/>
        <w:rPr>
          <w:lang w:val="de-DE"/>
        </w:rPr>
      </w:pPr>
    </w:p>
    <w:p w14:paraId="772D102D" w14:textId="77777777" w:rsidR="00FB7E02" w:rsidRPr="00FB7E02" w:rsidRDefault="00FB7E02" w:rsidP="005E0EF3">
      <w:pPr>
        <w:jc w:val="both"/>
        <w:rPr>
          <w:lang w:val="de-DE"/>
        </w:rPr>
      </w:pPr>
    </w:p>
    <w:p w14:paraId="16D29227" w14:textId="77777777" w:rsidR="00FB7E02" w:rsidRPr="00FB7E02" w:rsidRDefault="00FB7E02" w:rsidP="005E0EF3">
      <w:pPr>
        <w:ind w:firstLine="708"/>
        <w:jc w:val="both"/>
        <w:rPr>
          <w:lang w:val="de-DE"/>
        </w:rPr>
      </w:pPr>
      <w:r w:rsidRPr="00FB7E02">
        <w:rPr>
          <w:b/>
          <w:bCs/>
          <w:lang w:val="de-DE"/>
        </w:rPr>
        <w:t>Art. 16</w:t>
      </w:r>
      <w:r w:rsidRPr="00FB7E02">
        <w:rPr>
          <w:b/>
          <w:lang w:val="de-DE"/>
        </w:rPr>
        <w:t> </w:t>
      </w:r>
      <w:r w:rsidRPr="00FB7E02">
        <w:rPr>
          <w:b/>
          <w:bCs/>
          <w:lang w:val="de-DE"/>
        </w:rPr>
        <w:t>-</w:t>
      </w:r>
      <w:r w:rsidRPr="00FB7E02">
        <w:rPr>
          <w:lang w:val="de-DE"/>
        </w:rPr>
        <w:t xml:space="preserve"> Artikel 55 desselben Gesetzes, abgeändert durch den Königlichen Erlass vom 4. April 2003 und die Gesetze vom 10. Januar 2010 und 30. Juli 2022, wird wie folgt ersetzt:</w:t>
      </w:r>
    </w:p>
    <w:p w14:paraId="273D99B1" w14:textId="77777777" w:rsidR="00FB7E02" w:rsidRPr="00FB7E02" w:rsidRDefault="00FB7E02" w:rsidP="005E0EF3">
      <w:pPr>
        <w:jc w:val="both"/>
        <w:rPr>
          <w:lang w:val="de-DE"/>
        </w:rPr>
      </w:pPr>
    </w:p>
    <w:p w14:paraId="013DE5A2" w14:textId="77777777" w:rsidR="00FB7E02" w:rsidRPr="00FB7E02" w:rsidRDefault="00FB7E02" w:rsidP="005E0EF3">
      <w:pPr>
        <w:ind w:firstLine="708"/>
        <w:jc w:val="both"/>
        <w:rPr>
          <w:lang w:val="de-DE"/>
        </w:rPr>
      </w:pPr>
      <w:r w:rsidRPr="00FB7E02">
        <w:rPr>
          <w:lang w:val="de-DE"/>
        </w:rPr>
        <w:t>"Art. 55 ­ § 1 - Bei der Kommission wird ein zentrales Verarbeitungssystem für Daten in Bezug auf die in Artikel 54 erwähnten Personen eingerichtet, "</w:t>
      </w:r>
      <w:proofErr w:type="spellStart"/>
      <w:r w:rsidRPr="00FB7E02">
        <w:rPr>
          <w:i/>
          <w:iCs/>
          <w:lang w:val="de-DE"/>
        </w:rPr>
        <w:t>Excluded</w:t>
      </w:r>
      <w:proofErr w:type="spellEnd"/>
      <w:r w:rsidRPr="00FB7E02">
        <w:rPr>
          <w:i/>
          <w:iCs/>
          <w:lang w:val="de-DE"/>
        </w:rPr>
        <w:t xml:space="preserve"> </w:t>
      </w:r>
      <w:proofErr w:type="spellStart"/>
      <w:r w:rsidRPr="00FB7E02">
        <w:rPr>
          <w:i/>
          <w:iCs/>
          <w:lang w:val="de-DE"/>
        </w:rPr>
        <w:t>Persons</w:t>
      </w:r>
      <w:proofErr w:type="spellEnd"/>
      <w:r w:rsidRPr="00FB7E02">
        <w:rPr>
          <w:i/>
          <w:iCs/>
          <w:lang w:val="de-DE"/>
        </w:rPr>
        <w:t xml:space="preserve"> Information System</w:t>
      </w:r>
      <w:r w:rsidRPr="00FB7E02">
        <w:rPr>
          <w:lang w:val="de-DE"/>
        </w:rPr>
        <w:t xml:space="preserve"> (EPIS)" genannt, für das sie der für die Verarbeitung Verantwortliche im Sinne von Artikel 4 Nr. 7 der Verordnung (EU) 2016/679 des Europäischen Parlaments und des Rates vom 27. April 2016 zum Schutz natürlicher Personen bei der Verarbeitung personenbezogener Daten, zum freien Datenverkehr und zur Aufhebung der Richtlinie 95/46/EG (Datenschutz-Grundverordnung) ist.</w:t>
      </w:r>
    </w:p>
    <w:p w14:paraId="3E9F3285" w14:textId="77777777" w:rsidR="00FB7E02" w:rsidRPr="00FB7E02" w:rsidRDefault="00FB7E02" w:rsidP="005E0EF3">
      <w:pPr>
        <w:jc w:val="both"/>
        <w:rPr>
          <w:lang w:val="de-DE"/>
        </w:rPr>
      </w:pPr>
    </w:p>
    <w:p w14:paraId="7C61FAC5" w14:textId="77777777" w:rsidR="00FB7E02" w:rsidRPr="00FB7E02" w:rsidRDefault="00FB7E02" w:rsidP="005E0EF3">
      <w:pPr>
        <w:ind w:firstLine="708"/>
        <w:jc w:val="both"/>
        <w:rPr>
          <w:lang w:val="de-DE"/>
        </w:rPr>
      </w:pPr>
      <w:r w:rsidRPr="00FB7E02">
        <w:rPr>
          <w:lang w:val="de-DE"/>
        </w:rPr>
        <w:t>Mit EPIS wird bezweckt:</w:t>
      </w:r>
    </w:p>
    <w:p w14:paraId="55DE56CB" w14:textId="77777777" w:rsidR="00FB7E02" w:rsidRPr="00FB7E02" w:rsidRDefault="00FB7E02" w:rsidP="005E0EF3">
      <w:pPr>
        <w:jc w:val="both"/>
        <w:rPr>
          <w:lang w:val="de-DE"/>
        </w:rPr>
      </w:pPr>
    </w:p>
    <w:p w14:paraId="4DB49412" w14:textId="77777777" w:rsidR="00FB7E02" w:rsidRPr="00FB7E02" w:rsidRDefault="00FB7E02" w:rsidP="005E0EF3">
      <w:pPr>
        <w:ind w:firstLine="708"/>
        <w:jc w:val="both"/>
        <w:rPr>
          <w:lang w:val="de-DE"/>
        </w:rPr>
      </w:pPr>
      <w:r w:rsidRPr="00FB7E02">
        <w:rPr>
          <w:lang w:val="de-DE"/>
        </w:rPr>
        <w:t>1. den Inhabern von A-, A+-, B-, B+-, F1+- und F2-Lizenzen zu ermöglichen, sich zu vergewissern, dass Personen, die sich einfinden, um Zugang zum Spielsaal ihrer Glücksspiel</w:t>
      </w:r>
      <w:r w:rsidRPr="00FB7E02">
        <w:rPr>
          <w:lang w:val="de-DE"/>
        </w:rPr>
        <w:softHyphen/>
        <w:t>einrichtung zu erhalten oder um an Glücksspielen teilzunehmen, nicht gemäß Artikel 54 §§ 2 bis 4 der Zugang verweigert oder die Teilnahme an Glücksspielen untersagt ist,</w:t>
      </w:r>
    </w:p>
    <w:p w14:paraId="23A146B7" w14:textId="77777777" w:rsidR="00FB7E02" w:rsidRPr="00FB7E02" w:rsidRDefault="00FB7E02" w:rsidP="005E0EF3">
      <w:pPr>
        <w:jc w:val="both"/>
        <w:rPr>
          <w:lang w:val="de-DE"/>
        </w:rPr>
      </w:pPr>
    </w:p>
    <w:p w14:paraId="7D229B97" w14:textId="77777777" w:rsidR="00FB7E02" w:rsidRPr="00FB7E02" w:rsidRDefault="00FB7E02" w:rsidP="005E0EF3">
      <w:pPr>
        <w:ind w:firstLine="708"/>
        <w:jc w:val="both"/>
        <w:rPr>
          <w:lang w:val="de-DE"/>
        </w:rPr>
      </w:pPr>
      <w:r w:rsidRPr="00FB7E02">
        <w:rPr>
          <w:lang w:val="de-DE"/>
        </w:rPr>
        <w:lastRenderedPageBreak/>
        <w:t>2. der Kommission zu ermöglichen, Anträge auf Zugangsverweigerung oder Rücknahme der Verweigerung des Zugangs zu Glücksspielen und gegebenenfalls damit verbundene Streitigkeiten zu bearbeiten,</w:t>
      </w:r>
    </w:p>
    <w:p w14:paraId="33B7EA24" w14:textId="77777777" w:rsidR="00FB7E02" w:rsidRPr="00FB7E02" w:rsidRDefault="00FB7E02" w:rsidP="005E0EF3">
      <w:pPr>
        <w:jc w:val="both"/>
        <w:rPr>
          <w:lang w:val="de-DE"/>
        </w:rPr>
      </w:pPr>
    </w:p>
    <w:p w14:paraId="319E2B57" w14:textId="77777777" w:rsidR="00FB7E02" w:rsidRPr="00FB7E02" w:rsidRDefault="00FB7E02" w:rsidP="005E0EF3">
      <w:pPr>
        <w:ind w:firstLine="708"/>
        <w:jc w:val="both"/>
        <w:rPr>
          <w:lang w:val="de-DE"/>
        </w:rPr>
      </w:pPr>
      <w:r w:rsidRPr="00FB7E02">
        <w:rPr>
          <w:lang w:val="de-DE"/>
        </w:rPr>
        <w:t>3. Verstöße gegen vorliegendes Gesetz und seine Ausführungserlasse zu ermitteln und festzustellen.</w:t>
      </w:r>
    </w:p>
    <w:p w14:paraId="1BF16E4B" w14:textId="77777777" w:rsidR="00FB7E02" w:rsidRPr="00FB7E02" w:rsidRDefault="00FB7E02" w:rsidP="005E0EF3">
      <w:pPr>
        <w:jc w:val="both"/>
        <w:rPr>
          <w:lang w:val="de-DE"/>
        </w:rPr>
      </w:pPr>
    </w:p>
    <w:p w14:paraId="1820E3E1" w14:textId="77777777" w:rsidR="00FB7E02" w:rsidRPr="00FB7E02" w:rsidRDefault="00FB7E02" w:rsidP="005E0EF3">
      <w:pPr>
        <w:ind w:firstLine="708"/>
        <w:jc w:val="both"/>
        <w:rPr>
          <w:lang w:val="de-DE"/>
        </w:rPr>
      </w:pPr>
      <w:r w:rsidRPr="00FB7E02">
        <w:rPr>
          <w:lang w:val="de-DE"/>
        </w:rPr>
        <w:t>§ 2 ­ Für jede in Artikel 54 §§ 2 bis 4 erwähnte Person werden folgende Daten in EPIS verarbeitet:</w:t>
      </w:r>
    </w:p>
    <w:p w14:paraId="40D2DDCB" w14:textId="77777777" w:rsidR="00FB7E02" w:rsidRPr="00FB7E02" w:rsidRDefault="00FB7E02" w:rsidP="005E0EF3">
      <w:pPr>
        <w:jc w:val="both"/>
        <w:rPr>
          <w:lang w:val="de-DE"/>
        </w:rPr>
      </w:pPr>
    </w:p>
    <w:p w14:paraId="74939148" w14:textId="77777777" w:rsidR="00FB7E02" w:rsidRPr="00FB7E02" w:rsidRDefault="00FB7E02" w:rsidP="005E0EF3">
      <w:pPr>
        <w:ind w:firstLine="708"/>
        <w:jc w:val="both"/>
        <w:rPr>
          <w:lang w:val="de-DE"/>
        </w:rPr>
      </w:pPr>
      <w:r w:rsidRPr="00FB7E02">
        <w:rPr>
          <w:lang w:val="de-DE"/>
        </w:rPr>
        <w:t>1. Name und Vornamen,</w:t>
      </w:r>
    </w:p>
    <w:p w14:paraId="5C395D82" w14:textId="77777777" w:rsidR="00FB7E02" w:rsidRPr="00FB7E02" w:rsidRDefault="00FB7E02" w:rsidP="005E0EF3">
      <w:pPr>
        <w:jc w:val="both"/>
        <w:rPr>
          <w:lang w:val="de-DE"/>
        </w:rPr>
      </w:pPr>
    </w:p>
    <w:p w14:paraId="1FC522DD" w14:textId="77777777" w:rsidR="00FB7E02" w:rsidRPr="00FB7E02" w:rsidRDefault="00FB7E02" w:rsidP="005E0EF3">
      <w:pPr>
        <w:ind w:firstLine="708"/>
        <w:jc w:val="both"/>
        <w:rPr>
          <w:lang w:val="de-DE"/>
        </w:rPr>
      </w:pPr>
      <w:r w:rsidRPr="00FB7E02">
        <w:rPr>
          <w:lang w:val="de-DE"/>
        </w:rPr>
        <w:t>2. Geburtsdatum,</w:t>
      </w:r>
    </w:p>
    <w:p w14:paraId="68D73B92" w14:textId="77777777" w:rsidR="00FB7E02" w:rsidRPr="00FB7E02" w:rsidRDefault="00FB7E02" w:rsidP="005E0EF3">
      <w:pPr>
        <w:jc w:val="both"/>
        <w:rPr>
          <w:lang w:val="de-DE"/>
        </w:rPr>
      </w:pPr>
    </w:p>
    <w:p w14:paraId="24152E3A" w14:textId="77777777" w:rsidR="00FB7E02" w:rsidRPr="00FB7E02" w:rsidRDefault="00FB7E02" w:rsidP="005E0EF3">
      <w:pPr>
        <w:ind w:firstLine="708"/>
        <w:jc w:val="both"/>
        <w:rPr>
          <w:lang w:val="de-DE"/>
        </w:rPr>
      </w:pPr>
      <w:r w:rsidRPr="00FB7E02">
        <w:rPr>
          <w:lang w:val="de-DE"/>
        </w:rPr>
        <w:t xml:space="preserve">3. Erkennungsnummer des Nationalregisters der natürlichen Personen oder, wenn diese nicht verfügbar ist, Nummer des von einem anderen Mitgliedstaat des Europäischen Wirtschaftsraums ausgestellten Personalausweises, Nummer des Reisepasses oder hilfsweise in Artikel 8 § 1 Nr. 2 des Gesetzes vom 15. Januar 1990 über die Errichtung und Organisation einer </w:t>
      </w:r>
      <w:proofErr w:type="spellStart"/>
      <w:r w:rsidRPr="00FB7E02">
        <w:rPr>
          <w:lang w:val="de-DE"/>
        </w:rPr>
        <w:t>Zentralen</w:t>
      </w:r>
      <w:proofErr w:type="spellEnd"/>
      <w:r w:rsidRPr="00FB7E02">
        <w:rPr>
          <w:lang w:val="de-DE"/>
        </w:rPr>
        <w:t xml:space="preserve"> Datenbank der sozialen Sicherheit erwähnte Erkennungsnummer der Zentralen Datenbank,</w:t>
      </w:r>
    </w:p>
    <w:p w14:paraId="5B9B26E8" w14:textId="77777777" w:rsidR="00FB7E02" w:rsidRPr="00FB7E02" w:rsidRDefault="00FB7E02" w:rsidP="005E0EF3">
      <w:pPr>
        <w:jc w:val="both"/>
        <w:rPr>
          <w:lang w:val="de-DE"/>
        </w:rPr>
      </w:pPr>
    </w:p>
    <w:p w14:paraId="6A308931" w14:textId="77777777" w:rsidR="00FB7E02" w:rsidRPr="00FB7E02" w:rsidRDefault="00FB7E02" w:rsidP="005E0EF3">
      <w:pPr>
        <w:ind w:firstLine="708"/>
        <w:jc w:val="both"/>
        <w:rPr>
          <w:lang w:val="de-DE"/>
        </w:rPr>
      </w:pPr>
      <w:r w:rsidRPr="00FB7E02">
        <w:rPr>
          <w:lang w:val="de-DE"/>
        </w:rPr>
        <w:t>4. Grund, Beginn- und Enddatum der Zugangsverweigerung.</w:t>
      </w:r>
    </w:p>
    <w:p w14:paraId="630C00C1" w14:textId="77777777" w:rsidR="00FB7E02" w:rsidRPr="00FB7E02" w:rsidRDefault="00FB7E02" w:rsidP="005E0EF3">
      <w:pPr>
        <w:jc w:val="both"/>
        <w:rPr>
          <w:lang w:val="de-DE"/>
        </w:rPr>
      </w:pPr>
    </w:p>
    <w:p w14:paraId="5E85D1CA" w14:textId="77777777" w:rsidR="00FB7E02" w:rsidRPr="00FB7E02" w:rsidRDefault="00FB7E02" w:rsidP="005E0EF3">
      <w:pPr>
        <w:ind w:firstLine="708"/>
        <w:jc w:val="both"/>
        <w:rPr>
          <w:lang w:val="de-DE"/>
        </w:rPr>
      </w:pPr>
      <w:r w:rsidRPr="00FB7E02">
        <w:rPr>
          <w:lang w:val="de-DE"/>
        </w:rPr>
        <w:t>Die in Absatz 1 erwähnten Daten werden für eine Dauer von fünf Jahren ab dem Enddatum der Zugangsverweigerung aufbewahrt.</w:t>
      </w:r>
    </w:p>
    <w:p w14:paraId="4ECE1EE1" w14:textId="77777777" w:rsidR="00FB7E02" w:rsidRPr="00FB7E02" w:rsidRDefault="00FB7E02" w:rsidP="005E0EF3">
      <w:pPr>
        <w:jc w:val="both"/>
        <w:rPr>
          <w:lang w:val="de-DE"/>
        </w:rPr>
      </w:pPr>
    </w:p>
    <w:p w14:paraId="5483782D" w14:textId="77777777" w:rsidR="00FB7E02" w:rsidRPr="00FB7E02" w:rsidRDefault="00FB7E02" w:rsidP="005E0EF3">
      <w:pPr>
        <w:ind w:firstLine="708"/>
        <w:jc w:val="both"/>
        <w:rPr>
          <w:lang w:val="de-DE"/>
        </w:rPr>
      </w:pPr>
      <w:r w:rsidRPr="00FB7E02">
        <w:rPr>
          <w:lang w:val="de-DE"/>
        </w:rPr>
        <w:t>§ 3 ­ Der Zugriff auf die EPIS-Daten ist auf folgende Personen beschränkt:</w:t>
      </w:r>
    </w:p>
    <w:p w14:paraId="52A63967" w14:textId="77777777" w:rsidR="00FB7E02" w:rsidRPr="00FB7E02" w:rsidRDefault="00FB7E02" w:rsidP="005E0EF3">
      <w:pPr>
        <w:jc w:val="both"/>
        <w:rPr>
          <w:lang w:val="de-DE"/>
        </w:rPr>
      </w:pPr>
    </w:p>
    <w:p w14:paraId="4DF50334" w14:textId="77777777" w:rsidR="00FB7E02" w:rsidRPr="00FB7E02" w:rsidRDefault="00FB7E02" w:rsidP="005E0EF3">
      <w:pPr>
        <w:ind w:firstLine="708"/>
        <w:jc w:val="both"/>
        <w:rPr>
          <w:lang w:val="de-DE"/>
        </w:rPr>
      </w:pPr>
      <w:r w:rsidRPr="00FB7E02">
        <w:rPr>
          <w:lang w:val="de-DE"/>
        </w:rPr>
        <w:t>1. Präsident der Kommission,</w:t>
      </w:r>
    </w:p>
    <w:p w14:paraId="4B88B31D" w14:textId="77777777" w:rsidR="00FB7E02" w:rsidRPr="00FB7E02" w:rsidRDefault="00FB7E02" w:rsidP="005E0EF3">
      <w:pPr>
        <w:jc w:val="both"/>
        <w:rPr>
          <w:lang w:val="de-DE"/>
        </w:rPr>
      </w:pPr>
    </w:p>
    <w:p w14:paraId="564C357A" w14:textId="77777777" w:rsidR="00FB7E02" w:rsidRPr="00FB7E02" w:rsidRDefault="00FB7E02" w:rsidP="005E0EF3">
      <w:pPr>
        <w:ind w:firstLine="708"/>
        <w:jc w:val="both"/>
        <w:rPr>
          <w:lang w:val="de-DE"/>
        </w:rPr>
      </w:pPr>
      <w:r w:rsidRPr="00FB7E02">
        <w:rPr>
          <w:lang w:val="de-DE"/>
        </w:rPr>
        <w:t>2. in Artikel 15 § 3 Absatz 1 erwähnte Polizeibeamte,</w:t>
      </w:r>
    </w:p>
    <w:p w14:paraId="44AC7046" w14:textId="77777777" w:rsidR="00FB7E02" w:rsidRPr="00FB7E02" w:rsidRDefault="00FB7E02" w:rsidP="005E0EF3">
      <w:pPr>
        <w:jc w:val="both"/>
        <w:rPr>
          <w:lang w:val="de-DE"/>
        </w:rPr>
      </w:pPr>
    </w:p>
    <w:p w14:paraId="265BF6F0" w14:textId="77777777" w:rsidR="00FB7E02" w:rsidRPr="00FB7E02" w:rsidRDefault="00FB7E02" w:rsidP="005E0EF3">
      <w:pPr>
        <w:ind w:firstLine="708"/>
        <w:jc w:val="both"/>
        <w:rPr>
          <w:lang w:val="de-DE"/>
        </w:rPr>
      </w:pPr>
      <w:r w:rsidRPr="00FB7E02">
        <w:rPr>
          <w:lang w:val="de-DE"/>
        </w:rPr>
        <w:t>3. Mitglieder des Sekretariats der Kommission, deren Funktion den Zugriff erfordert und die von der Kommission bestimmt werden.</w:t>
      </w:r>
    </w:p>
    <w:p w14:paraId="311D0FEF" w14:textId="77777777" w:rsidR="00FB7E02" w:rsidRPr="00FB7E02" w:rsidRDefault="00FB7E02" w:rsidP="005E0EF3">
      <w:pPr>
        <w:jc w:val="both"/>
        <w:rPr>
          <w:lang w:val="de-DE"/>
        </w:rPr>
      </w:pPr>
    </w:p>
    <w:p w14:paraId="42F906E3" w14:textId="77777777" w:rsidR="00FB7E02" w:rsidRPr="00FB7E02" w:rsidRDefault="00FB7E02" w:rsidP="005E0EF3">
      <w:pPr>
        <w:ind w:firstLine="708"/>
        <w:jc w:val="both"/>
        <w:rPr>
          <w:lang w:val="de-DE"/>
        </w:rPr>
      </w:pPr>
      <w:r w:rsidRPr="00FB7E02">
        <w:rPr>
          <w:lang w:val="de-DE"/>
        </w:rPr>
        <w:t>§ 4 ­ Der König bestimmt die technischen und finanziellen Modalitäten von EPIS."</w:t>
      </w:r>
    </w:p>
    <w:p w14:paraId="6689FBBE" w14:textId="77777777" w:rsidR="00FB7E02" w:rsidRPr="00FB7E02" w:rsidRDefault="00FB7E02" w:rsidP="005E0EF3">
      <w:pPr>
        <w:jc w:val="both"/>
        <w:rPr>
          <w:lang w:val="de-DE"/>
        </w:rPr>
      </w:pPr>
    </w:p>
    <w:p w14:paraId="568B9A96" w14:textId="77777777" w:rsidR="00FB7E02" w:rsidRPr="00FB7E02" w:rsidRDefault="00FB7E02" w:rsidP="005E0EF3">
      <w:pPr>
        <w:jc w:val="both"/>
        <w:rPr>
          <w:lang w:val="de-DE"/>
        </w:rPr>
      </w:pPr>
    </w:p>
    <w:p w14:paraId="44B66248" w14:textId="77777777" w:rsidR="00FB7E02" w:rsidRPr="00FB7E02" w:rsidRDefault="00FB7E02" w:rsidP="005E0EF3">
      <w:pPr>
        <w:ind w:firstLine="708"/>
        <w:jc w:val="both"/>
        <w:rPr>
          <w:lang w:val="de-DE"/>
        </w:rPr>
      </w:pPr>
      <w:r w:rsidRPr="00FB7E02">
        <w:rPr>
          <w:b/>
          <w:bCs/>
          <w:lang w:val="de-DE"/>
        </w:rPr>
        <w:t>Art. 17</w:t>
      </w:r>
      <w:r w:rsidRPr="00FB7E02">
        <w:rPr>
          <w:b/>
          <w:lang w:val="de-DE"/>
        </w:rPr>
        <w:t> </w:t>
      </w:r>
      <w:r w:rsidRPr="00FB7E02">
        <w:rPr>
          <w:b/>
          <w:bCs/>
          <w:lang w:val="de-DE"/>
        </w:rPr>
        <w:t>-</w:t>
      </w:r>
      <w:r w:rsidRPr="00FB7E02">
        <w:rPr>
          <w:lang w:val="de-DE"/>
        </w:rPr>
        <w:t xml:space="preserve"> In dasselbe Gesetz wird ein Artikel 55/2 mit folgendem Wortlaut eingefügt:</w:t>
      </w:r>
    </w:p>
    <w:p w14:paraId="23E52C50" w14:textId="77777777" w:rsidR="00FB7E02" w:rsidRPr="00FB7E02" w:rsidRDefault="00FB7E02" w:rsidP="005E0EF3">
      <w:pPr>
        <w:jc w:val="both"/>
        <w:rPr>
          <w:lang w:val="de-DE"/>
        </w:rPr>
      </w:pPr>
    </w:p>
    <w:p w14:paraId="29E1CFD5" w14:textId="77777777" w:rsidR="00FB7E02" w:rsidRPr="00FB7E02" w:rsidRDefault="00FB7E02" w:rsidP="005E0EF3">
      <w:pPr>
        <w:ind w:firstLine="708"/>
        <w:jc w:val="both"/>
        <w:rPr>
          <w:lang w:val="de-DE"/>
        </w:rPr>
      </w:pPr>
      <w:r w:rsidRPr="00FB7E02">
        <w:rPr>
          <w:lang w:val="de-DE"/>
        </w:rPr>
        <w:t>"Art. 55/2 - § 1 ­ Jede Abfrage von EPIS wird in einer Protokolldatei gespeichert, "EPIS-Protokoll" genannt, für die die Kommission der für die Verarbeitung Verantwortliche im Sinne von Artikel 4 Nr. 7 der Verordnung (EU) 2016/679 des Europäischen Parlaments und des Rates vom 27. April 2016 zum Schutz natürlicher Personen bei der Verarbeitung personen</w:t>
      </w:r>
      <w:r w:rsidRPr="00FB7E02">
        <w:rPr>
          <w:lang w:val="de-DE"/>
        </w:rPr>
        <w:softHyphen/>
        <w:t>bezogener Daten, zum freien Datenverkehr und zur Aufhebung der Richtlinie 95/46/EG (Datenschutz-Grundverordnung) ist.</w:t>
      </w:r>
    </w:p>
    <w:p w14:paraId="56EEDEE4" w14:textId="77777777" w:rsidR="00FB7E02" w:rsidRPr="00FB7E02" w:rsidRDefault="00FB7E02">
      <w:pPr>
        <w:rPr>
          <w:lang w:val="de-DE"/>
        </w:rPr>
      </w:pPr>
      <w:r w:rsidRPr="00FB7E02">
        <w:rPr>
          <w:lang w:val="de-DE"/>
        </w:rPr>
        <w:br w:type="page"/>
      </w:r>
    </w:p>
    <w:p w14:paraId="24E9B9BB" w14:textId="77777777" w:rsidR="00FB7E02" w:rsidRPr="00FB7E02" w:rsidRDefault="00FB7E02" w:rsidP="005E0EF3">
      <w:pPr>
        <w:ind w:firstLine="708"/>
        <w:jc w:val="both"/>
        <w:rPr>
          <w:lang w:val="de-DE"/>
        </w:rPr>
      </w:pPr>
      <w:r w:rsidRPr="00FB7E02">
        <w:rPr>
          <w:lang w:val="de-DE"/>
        </w:rPr>
        <w:lastRenderedPageBreak/>
        <w:t>Mit dem EPIS-Protokoll wird bezweckt:</w:t>
      </w:r>
    </w:p>
    <w:p w14:paraId="3586F9CD" w14:textId="77777777" w:rsidR="00FB7E02" w:rsidRPr="00FB7E02" w:rsidRDefault="00FB7E02" w:rsidP="005E0EF3">
      <w:pPr>
        <w:jc w:val="both"/>
        <w:rPr>
          <w:lang w:val="de-DE"/>
        </w:rPr>
      </w:pPr>
    </w:p>
    <w:p w14:paraId="1629F029" w14:textId="77777777" w:rsidR="00FB7E02" w:rsidRPr="00FB7E02" w:rsidRDefault="00FB7E02" w:rsidP="00EE0FEE">
      <w:pPr>
        <w:ind w:firstLine="708"/>
        <w:jc w:val="both"/>
        <w:rPr>
          <w:lang w:val="de-DE"/>
        </w:rPr>
      </w:pPr>
      <w:r w:rsidRPr="00FB7E02">
        <w:rPr>
          <w:lang w:val="de-DE"/>
        </w:rPr>
        <w:t>1. zu überprüfen, ob die Lizenzinhaber ihre gesetzlichen Verpflichtungen in Bezug auf die Zugangskontrolle am Eingang des Spielsaals ihrer Glücksspieleinrichtung oder für die Teilnahme an Glücksspielen ordnungsgemäß erfüllen,</w:t>
      </w:r>
    </w:p>
    <w:p w14:paraId="61EF21B2" w14:textId="77777777" w:rsidR="00FB7E02" w:rsidRPr="00FB7E02" w:rsidRDefault="00FB7E02" w:rsidP="005E0EF3">
      <w:pPr>
        <w:jc w:val="both"/>
        <w:rPr>
          <w:lang w:val="de-DE"/>
        </w:rPr>
      </w:pPr>
    </w:p>
    <w:p w14:paraId="2DEC8A79" w14:textId="77777777" w:rsidR="00FB7E02" w:rsidRPr="00FB7E02" w:rsidRDefault="00FB7E02" w:rsidP="005E0EF3">
      <w:pPr>
        <w:ind w:firstLine="708"/>
        <w:jc w:val="both"/>
        <w:rPr>
          <w:lang w:val="de-DE"/>
        </w:rPr>
      </w:pPr>
      <w:r w:rsidRPr="00FB7E02">
        <w:rPr>
          <w:lang w:val="de-DE"/>
        </w:rPr>
        <w:t>2. mögliche zweifelhafte EPIS-Abfragen zu erkennen und zurückzuverfolgen.</w:t>
      </w:r>
    </w:p>
    <w:p w14:paraId="66891181" w14:textId="77777777" w:rsidR="00FB7E02" w:rsidRPr="00FB7E02" w:rsidRDefault="00FB7E02" w:rsidP="005E0EF3">
      <w:pPr>
        <w:jc w:val="both"/>
        <w:rPr>
          <w:lang w:val="de-DE"/>
        </w:rPr>
      </w:pPr>
    </w:p>
    <w:p w14:paraId="337181FE" w14:textId="77777777" w:rsidR="00FB7E02" w:rsidRPr="00FB7E02" w:rsidRDefault="00FB7E02" w:rsidP="005E0EF3">
      <w:pPr>
        <w:ind w:firstLine="708"/>
        <w:jc w:val="both"/>
        <w:rPr>
          <w:lang w:val="de-DE"/>
        </w:rPr>
      </w:pPr>
      <w:r w:rsidRPr="00FB7E02">
        <w:rPr>
          <w:lang w:val="de-DE"/>
        </w:rPr>
        <w:t>§ 2 ­ Für jede EPIS-Abfrage werden folgende Daten im EPIS-Protokoll verarbeitet:</w:t>
      </w:r>
    </w:p>
    <w:p w14:paraId="2494B7FB" w14:textId="77777777" w:rsidR="00FB7E02" w:rsidRPr="00FB7E02" w:rsidRDefault="00FB7E02" w:rsidP="005E0EF3">
      <w:pPr>
        <w:jc w:val="both"/>
        <w:rPr>
          <w:lang w:val="de-DE"/>
        </w:rPr>
      </w:pPr>
    </w:p>
    <w:p w14:paraId="7862CF54" w14:textId="77777777" w:rsidR="00FB7E02" w:rsidRPr="00FB7E02" w:rsidRDefault="00FB7E02" w:rsidP="005E0EF3">
      <w:pPr>
        <w:ind w:firstLine="708"/>
        <w:jc w:val="both"/>
        <w:rPr>
          <w:lang w:val="de-DE"/>
        </w:rPr>
      </w:pPr>
      <w:r w:rsidRPr="00FB7E02">
        <w:rPr>
          <w:lang w:val="de-DE"/>
        </w:rPr>
        <w:t>1. Datum und Uhrzeit der Abfrage,</w:t>
      </w:r>
    </w:p>
    <w:p w14:paraId="01B8BDBC" w14:textId="77777777" w:rsidR="00FB7E02" w:rsidRPr="00FB7E02" w:rsidRDefault="00FB7E02" w:rsidP="005E0EF3">
      <w:pPr>
        <w:jc w:val="both"/>
        <w:rPr>
          <w:lang w:val="de-DE"/>
        </w:rPr>
      </w:pPr>
    </w:p>
    <w:p w14:paraId="27537E49" w14:textId="77777777" w:rsidR="00FB7E02" w:rsidRPr="00FB7E02" w:rsidRDefault="00FB7E02" w:rsidP="005E0EF3">
      <w:pPr>
        <w:ind w:firstLine="708"/>
        <w:jc w:val="both"/>
        <w:rPr>
          <w:lang w:val="de-DE"/>
        </w:rPr>
      </w:pPr>
      <w:r w:rsidRPr="00FB7E02">
        <w:rPr>
          <w:lang w:val="de-DE"/>
        </w:rPr>
        <w:t>2. in Artikel 55 § 2 Nr. 1 bis 3 erwähnte Daten,</w:t>
      </w:r>
    </w:p>
    <w:p w14:paraId="492077B6" w14:textId="77777777" w:rsidR="00FB7E02" w:rsidRPr="00FB7E02" w:rsidRDefault="00FB7E02" w:rsidP="005E0EF3">
      <w:pPr>
        <w:jc w:val="both"/>
        <w:rPr>
          <w:lang w:val="de-DE"/>
        </w:rPr>
      </w:pPr>
    </w:p>
    <w:p w14:paraId="7D9D4CA4" w14:textId="77777777" w:rsidR="00FB7E02" w:rsidRPr="00FB7E02" w:rsidRDefault="00FB7E02" w:rsidP="005E0EF3">
      <w:pPr>
        <w:ind w:firstLine="708"/>
        <w:jc w:val="both"/>
        <w:rPr>
          <w:lang w:val="de-DE"/>
        </w:rPr>
      </w:pPr>
      <w:r w:rsidRPr="00FB7E02">
        <w:rPr>
          <w:lang w:val="de-DE"/>
        </w:rPr>
        <w:t>3. Lizenznummer der Glücksspieleinrichtung, von der aus EPIS abgefragt worden ist,</w:t>
      </w:r>
    </w:p>
    <w:p w14:paraId="16923361" w14:textId="77777777" w:rsidR="00FB7E02" w:rsidRPr="00FB7E02" w:rsidRDefault="00FB7E02" w:rsidP="005E0EF3">
      <w:pPr>
        <w:jc w:val="both"/>
        <w:rPr>
          <w:lang w:val="de-DE"/>
        </w:rPr>
      </w:pPr>
    </w:p>
    <w:p w14:paraId="01C9D733" w14:textId="77777777" w:rsidR="00FB7E02" w:rsidRPr="00FB7E02" w:rsidRDefault="00FB7E02" w:rsidP="005E0EF3">
      <w:pPr>
        <w:ind w:firstLine="708"/>
        <w:jc w:val="both"/>
        <w:rPr>
          <w:lang w:val="de-DE"/>
        </w:rPr>
      </w:pPr>
      <w:r w:rsidRPr="00FB7E02">
        <w:rPr>
          <w:lang w:val="de-DE"/>
        </w:rPr>
        <w:t>4. Nummer der D-Lizenz der Person, die EPIS abgefragt hat, oder Identität der in Artikel 55 § 3 erwähnten Person,</w:t>
      </w:r>
    </w:p>
    <w:p w14:paraId="37517387" w14:textId="77777777" w:rsidR="00FB7E02" w:rsidRPr="00FB7E02" w:rsidRDefault="00FB7E02" w:rsidP="005E0EF3">
      <w:pPr>
        <w:jc w:val="both"/>
        <w:rPr>
          <w:lang w:val="de-DE"/>
        </w:rPr>
      </w:pPr>
    </w:p>
    <w:p w14:paraId="4AC9DE22" w14:textId="77777777" w:rsidR="00FB7E02" w:rsidRPr="00FB7E02" w:rsidRDefault="00FB7E02" w:rsidP="005E0EF3">
      <w:pPr>
        <w:ind w:firstLine="708"/>
        <w:jc w:val="both"/>
        <w:rPr>
          <w:lang w:val="de-DE"/>
        </w:rPr>
      </w:pPr>
      <w:r w:rsidRPr="00FB7E02">
        <w:rPr>
          <w:lang w:val="de-DE"/>
        </w:rPr>
        <w:t>5. Ergebnis der EPIS-Kontrolle,</w:t>
      </w:r>
    </w:p>
    <w:p w14:paraId="3D5B91E6" w14:textId="77777777" w:rsidR="00FB7E02" w:rsidRPr="00FB7E02" w:rsidRDefault="00FB7E02" w:rsidP="005E0EF3">
      <w:pPr>
        <w:jc w:val="both"/>
        <w:rPr>
          <w:lang w:val="de-DE"/>
        </w:rPr>
      </w:pPr>
    </w:p>
    <w:p w14:paraId="7CF8EC55" w14:textId="77777777" w:rsidR="00FB7E02" w:rsidRPr="00FB7E02" w:rsidRDefault="00FB7E02" w:rsidP="005E0EF3">
      <w:pPr>
        <w:ind w:firstLine="708"/>
        <w:jc w:val="both"/>
        <w:rPr>
          <w:lang w:val="de-DE"/>
        </w:rPr>
      </w:pPr>
      <w:r w:rsidRPr="00FB7E02">
        <w:rPr>
          <w:lang w:val="de-DE"/>
        </w:rPr>
        <w:t>6. Zweck der Abfrage und, wenn der Zweck der EPIS-Abfrage in der Ausführung gerichtspolizeilicher Aufträge zur Kontrolle der Einhaltung des vorliegenden Gesetzes und seiner Ausführungserlasse besteht, Aktenzeichen, für das die Abfrage erfolgt ist,</w:t>
      </w:r>
    </w:p>
    <w:p w14:paraId="748F7987" w14:textId="77777777" w:rsidR="00FB7E02" w:rsidRPr="00FB7E02" w:rsidRDefault="00FB7E02" w:rsidP="005E0EF3">
      <w:pPr>
        <w:jc w:val="both"/>
        <w:rPr>
          <w:lang w:val="de-DE"/>
        </w:rPr>
      </w:pPr>
    </w:p>
    <w:p w14:paraId="3F362B9A" w14:textId="77777777" w:rsidR="00FB7E02" w:rsidRPr="00FB7E02" w:rsidRDefault="00FB7E02" w:rsidP="005E0EF3">
      <w:pPr>
        <w:ind w:firstLine="708"/>
        <w:jc w:val="both"/>
        <w:rPr>
          <w:lang w:val="de-DE"/>
        </w:rPr>
      </w:pPr>
      <w:r w:rsidRPr="00FB7E02">
        <w:rPr>
          <w:lang w:val="de-DE"/>
        </w:rPr>
        <w:t>7. in Artikel 54/1 § 2 erwähntes verwendetes Erkennungsmittel.</w:t>
      </w:r>
    </w:p>
    <w:p w14:paraId="1C337AA7" w14:textId="77777777" w:rsidR="00FB7E02" w:rsidRPr="00FB7E02" w:rsidRDefault="00FB7E02" w:rsidP="005E0EF3">
      <w:pPr>
        <w:jc w:val="both"/>
        <w:rPr>
          <w:lang w:val="de-DE"/>
        </w:rPr>
      </w:pPr>
    </w:p>
    <w:p w14:paraId="7DF52BFC" w14:textId="77777777" w:rsidR="00FB7E02" w:rsidRPr="00FB7E02" w:rsidRDefault="00FB7E02" w:rsidP="005E0EF3">
      <w:pPr>
        <w:ind w:firstLine="708"/>
        <w:jc w:val="both"/>
        <w:rPr>
          <w:lang w:val="de-DE"/>
        </w:rPr>
      </w:pPr>
      <w:r w:rsidRPr="00FB7E02">
        <w:rPr>
          <w:lang w:val="de-DE"/>
        </w:rPr>
        <w:t>Die in Absatz 1 erwähnten Daten werden für eine Dauer von fünf Jahren ab dem Datum der EPIS-Abfrage aufbewahrt.</w:t>
      </w:r>
    </w:p>
    <w:p w14:paraId="41A56226" w14:textId="77777777" w:rsidR="00FB7E02" w:rsidRPr="00FB7E02" w:rsidRDefault="00FB7E02" w:rsidP="005E0EF3">
      <w:pPr>
        <w:jc w:val="both"/>
        <w:rPr>
          <w:lang w:val="de-DE"/>
        </w:rPr>
      </w:pPr>
    </w:p>
    <w:p w14:paraId="00B33289" w14:textId="77777777" w:rsidR="00FB7E02" w:rsidRPr="00FB7E02" w:rsidRDefault="00FB7E02" w:rsidP="005E0EF3">
      <w:pPr>
        <w:ind w:firstLine="708"/>
        <w:jc w:val="both"/>
        <w:rPr>
          <w:lang w:val="de-DE"/>
        </w:rPr>
      </w:pPr>
      <w:r w:rsidRPr="00FB7E02">
        <w:rPr>
          <w:lang w:val="de-DE"/>
        </w:rPr>
        <w:t>§ 3 ­ Der Zugriff auf die Daten des EPIS-Protokolls ist auf folgende Personen beschränkt:</w:t>
      </w:r>
    </w:p>
    <w:p w14:paraId="75A6665E" w14:textId="77777777" w:rsidR="00FB7E02" w:rsidRPr="00FB7E02" w:rsidRDefault="00FB7E02" w:rsidP="005E0EF3">
      <w:pPr>
        <w:jc w:val="both"/>
        <w:rPr>
          <w:lang w:val="de-DE"/>
        </w:rPr>
      </w:pPr>
    </w:p>
    <w:p w14:paraId="0BB211A0" w14:textId="77777777" w:rsidR="00FB7E02" w:rsidRPr="00FB7E02" w:rsidRDefault="00FB7E02" w:rsidP="005E0EF3">
      <w:pPr>
        <w:ind w:firstLine="708"/>
        <w:jc w:val="both"/>
        <w:rPr>
          <w:lang w:val="de-DE"/>
        </w:rPr>
      </w:pPr>
      <w:r w:rsidRPr="00FB7E02">
        <w:rPr>
          <w:lang w:val="de-DE"/>
        </w:rPr>
        <w:t>1. Präsident der Kommission,</w:t>
      </w:r>
    </w:p>
    <w:p w14:paraId="495ACE50" w14:textId="77777777" w:rsidR="00FB7E02" w:rsidRPr="00FB7E02" w:rsidRDefault="00FB7E02" w:rsidP="005E0EF3">
      <w:pPr>
        <w:jc w:val="both"/>
        <w:rPr>
          <w:lang w:val="de-DE"/>
        </w:rPr>
      </w:pPr>
    </w:p>
    <w:p w14:paraId="3BA9ACD4" w14:textId="77777777" w:rsidR="00FB7E02" w:rsidRPr="00FB7E02" w:rsidRDefault="00FB7E02" w:rsidP="005E0EF3">
      <w:pPr>
        <w:ind w:firstLine="708"/>
        <w:jc w:val="both"/>
        <w:rPr>
          <w:lang w:val="de-DE"/>
        </w:rPr>
      </w:pPr>
      <w:r w:rsidRPr="00FB7E02">
        <w:rPr>
          <w:lang w:val="de-DE"/>
        </w:rPr>
        <w:t>2. in Artikel 15 § 3 Absatz 1 erwähnte Polizeibeamte,</w:t>
      </w:r>
    </w:p>
    <w:p w14:paraId="77580BB7" w14:textId="77777777" w:rsidR="00FB7E02" w:rsidRPr="00FB7E02" w:rsidRDefault="00FB7E02" w:rsidP="005E0EF3">
      <w:pPr>
        <w:jc w:val="both"/>
        <w:rPr>
          <w:lang w:val="de-DE"/>
        </w:rPr>
      </w:pPr>
    </w:p>
    <w:p w14:paraId="07C66F5C" w14:textId="77777777" w:rsidR="00FB7E02" w:rsidRPr="00FB7E02" w:rsidRDefault="00FB7E02" w:rsidP="005E0EF3">
      <w:pPr>
        <w:ind w:firstLine="708"/>
        <w:jc w:val="both"/>
        <w:rPr>
          <w:lang w:val="de-DE"/>
        </w:rPr>
      </w:pPr>
      <w:r w:rsidRPr="00FB7E02">
        <w:rPr>
          <w:lang w:val="de-DE"/>
        </w:rPr>
        <w:t>3. Mitglieder des Sekretariats der Kommission, deren Funktion den Zugriff erfordert und die von der Kommission bestimmt werden."</w:t>
      </w:r>
    </w:p>
    <w:p w14:paraId="62AAC3E8" w14:textId="77777777" w:rsidR="00FB7E02" w:rsidRPr="00FB7E02" w:rsidRDefault="00FB7E02">
      <w:pPr>
        <w:rPr>
          <w:lang w:val="de-DE"/>
        </w:rPr>
      </w:pPr>
      <w:r w:rsidRPr="00FB7E02">
        <w:rPr>
          <w:lang w:val="de-DE"/>
        </w:rPr>
        <w:br w:type="page"/>
      </w:r>
    </w:p>
    <w:p w14:paraId="4C2A90EB" w14:textId="77777777" w:rsidR="00FB7E02" w:rsidRPr="00FB7E02" w:rsidRDefault="00FB7E02" w:rsidP="005E0EF3">
      <w:pPr>
        <w:ind w:firstLine="708"/>
        <w:jc w:val="both"/>
        <w:rPr>
          <w:lang w:val="de-DE"/>
        </w:rPr>
      </w:pPr>
      <w:r w:rsidRPr="00FB7E02">
        <w:rPr>
          <w:b/>
          <w:bCs/>
          <w:lang w:val="de-DE"/>
        </w:rPr>
        <w:lastRenderedPageBreak/>
        <w:t>Art. 18</w:t>
      </w:r>
      <w:r w:rsidRPr="00FB7E02">
        <w:rPr>
          <w:b/>
          <w:lang w:val="de-DE"/>
        </w:rPr>
        <w:t> </w:t>
      </w:r>
      <w:r w:rsidRPr="00FB7E02">
        <w:rPr>
          <w:b/>
          <w:bCs/>
          <w:lang w:val="de-DE"/>
        </w:rPr>
        <w:t>-</w:t>
      </w:r>
      <w:r w:rsidRPr="00FB7E02">
        <w:rPr>
          <w:lang w:val="de-DE"/>
        </w:rPr>
        <w:t xml:space="preserve"> In dasselbe Gesetz wird ein Artikel 55/3 mit folgendem Wortlaut eingefügt:</w:t>
      </w:r>
    </w:p>
    <w:p w14:paraId="180667F5" w14:textId="77777777" w:rsidR="00FB7E02" w:rsidRPr="00FB7E02" w:rsidRDefault="00FB7E02" w:rsidP="005E0EF3">
      <w:pPr>
        <w:jc w:val="both"/>
        <w:rPr>
          <w:lang w:val="de-DE"/>
        </w:rPr>
      </w:pPr>
    </w:p>
    <w:p w14:paraId="48CEDAA6" w14:textId="77777777" w:rsidR="00FB7E02" w:rsidRPr="00FB7E02" w:rsidRDefault="00FB7E02" w:rsidP="005E0EF3">
      <w:pPr>
        <w:ind w:firstLine="708"/>
        <w:jc w:val="both"/>
        <w:rPr>
          <w:lang w:val="de-DE"/>
        </w:rPr>
      </w:pPr>
      <w:r w:rsidRPr="00FB7E02">
        <w:rPr>
          <w:lang w:val="de-DE"/>
        </w:rPr>
        <w:t>"Art. 55/3 - § 1 ­ In Anwendung von Artikel 6 Absatz 4 und Artikel 23 Absatz 1 Buchstabe </w:t>
      </w:r>
      <w:r w:rsidRPr="00FB7E02">
        <w:rPr>
          <w:i/>
          <w:lang w:val="de-DE"/>
        </w:rPr>
        <w:t>e)</w:t>
      </w:r>
      <w:r w:rsidRPr="00FB7E02">
        <w:rPr>
          <w:lang w:val="de-DE"/>
        </w:rPr>
        <w:t xml:space="preserve">, </w:t>
      </w:r>
      <w:r w:rsidRPr="00FB7E02">
        <w:rPr>
          <w:i/>
          <w:lang w:val="de-DE"/>
        </w:rPr>
        <w:t>g)</w:t>
      </w:r>
      <w:r w:rsidRPr="00FB7E02">
        <w:rPr>
          <w:lang w:val="de-DE"/>
        </w:rPr>
        <w:t xml:space="preserve"> und </w:t>
      </w:r>
      <w:r w:rsidRPr="00FB7E02">
        <w:rPr>
          <w:i/>
          <w:lang w:val="de-DE"/>
        </w:rPr>
        <w:t>i)</w:t>
      </w:r>
      <w:r w:rsidRPr="00FB7E02">
        <w:rPr>
          <w:lang w:val="de-DE"/>
        </w:rPr>
        <w:t xml:space="preserve"> der Verordnung (EU) 2016/679 des Europäischen Parlaments und des Rates vom 27. April 2016 zum Schutz natürlicher Personen bei der Verarbeitung personen</w:t>
      </w:r>
      <w:r w:rsidRPr="00FB7E02">
        <w:rPr>
          <w:lang w:val="de-DE"/>
        </w:rPr>
        <w:softHyphen/>
        <w:t>bezogener Daten, zum freien Datenverkehr und zur Aufhebung der Richtlinie 95/46/EG (Datenschutz-Grundverordnung) können die Daten des EPIS-Protokolls von der Kommission weiterverarbeitet werden, um:</w:t>
      </w:r>
    </w:p>
    <w:p w14:paraId="42A6F86F" w14:textId="77777777" w:rsidR="00FB7E02" w:rsidRPr="00FB7E02" w:rsidRDefault="00FB7E02" w:rsidP="005E0EF3">
      <w:pPr>
        <w:jc w:val="both"/>
        <w:rPr>
          <w:lang w:val="de-DE"/>
        </w:rPr>
      </w:pPr>
    </w:p>
    <w:p w14:paraId="1A9583E8" w14:textId="77777777" w:rsidR="00FB7E02" w:rsidRPr="00FB7E02" w:rsidRDefault="00FB7E02" w:rsidP="005E0EF3">
      <w:pPr>
        <w:ind w:firstLine="708"/>
        <w:jc w:val="both"/>
        <w:rPr>
          <w:lang w:val="de-DE"/>
        </w:rPr>
      </w:pPr>
      <w:r w:rsidRPr="00FB7E02">
        <w:rPr>
          <w:lang w:val="de-DE"/>
        </w:rPr>
        <w:t>1. es ihr zu ermöglichen, zu überprüfen, ob ein Lizenzinhaber seine gesetzlichen Verpflichtungen in Anwendung von Artikel 54 ordnungsgemäß erfüllt,</w:t>
      </w:r>
    </w:p>
    <w:p w14:paraId="74F21CFE" w14:textId="77777777" w:rsidR="00FB7E02" w:rsidRPr="00FB7E02" w:rsidRDefault="00FB7E02" w:rsidP="005E0EF3">
      <w:pPr>
        <w:jc w:val="both"/>
        <w:rPr>
          <w:lang w:val="de-DE"/>
        </w:rPr>
      </w:pPr>
    </w:p>
    <w:p w14:paraId="074F2195" w14:textId="77777777" w:rsidR="00FB7E02" w:rsidRPr="00FB7E02" w:rsidRDefault="00FB7E02" w:rsidP="005E0EF3">
      <w:pPr>
        <w:ind w:firstLine="708"/>
        <w:jc w:val="both"/>
        <w:rPr>
          <w:lang w:val="de-DE"/>
        </w:rPr>
      </w:pPr>
      <w:r w:rsidRPr="00FB7E02">
        <w:rPr>
          <w:lang w:val="de-DE"/>
        </w:rPr>
        <w:t>2. es ihr zu ermöglichen, den ihr durch Artikel 54 § 3 Nr. 4 anvertrauten Auftrag zum Schutz der Spieler zu erfüllen.</w:t>
      </w:r>
    </w:p>
    <w:p w14:paraId="01C7F46D" w14:textId="77777777" w:rsidR="00FB7E02" w:rsidRPr="00FB7E02" w:rsidRDefault="00FB7E02" w:rsidP="005E0EF3">
      <w:pPr>
        <w:jc w:val="both"/>
        <w:rPr>
          <w:lang w:val="de-DE"/>
        </w:rPr>
      </w:pPr>
    </w:p>
    <w:p w14:paraId="6EF89BEA" w14:textId="77777777" w:rsidR="00FB7E02" w:rsidRPr="00FB7E02" w:rsidRDefault="00FB7E02" w:rsidP="005E0EF3">
      <w:pPr>
        <w:ind w:firstLine="708"/>
        <w:jc w:val="both"/>
        <w:rPr>
          <w:lang w:val="de-DE"/>
        </w:rPr>
      </w:pPr>
      <w:r w:rsidRPr="00FB7E02">
        <w:rPr>
          <w:lang w:val="de-DE"/>
        </w:rPr>
        <w:t>§ 2 ­ In Anwendung von Artikel 6 Absatz 4 und Artikel 23 Absatz 1 Buchstabe </w:t>
      </w:r>
      <w:r w:rsidRPr="00FB7E02">
        <w:rPr>
          <w:i/>
          <w:iCs/>
          <w:lang w:val="de-DE"/>
        </w:rPr>
        <w:t>e)</w:t>
      </w:r>
      <w:r w:rsidRPr="00FB7E02">
        <w:rPr>
          <w:lang w:val="de-DE"/>
        </w:rPr>
        <w:t xml:space="preserve"> und </w:t>
      </w:r>
      <w:r w:rsidRPr="00FB7E02">
        <w:rPr>
          <w:i/>
          <w:iCs/>
          <w:lang w:val="de-DE"/>
        </w:rPr>
        <w:t>g)</w:t>
      </w:r>
      <w:r w:rsidRPr="00FB7E02">
        <w:rPr>
          <w:lang w:val="de-DE"/>
        </w:rPr>
        <w:t xml:space="preserve"> der Verordnung (EU) 2016/679 des Europäischen Parlaments und des Rates vom 27. April 2016 zum Schutz natürlicher Personen bei der Verarbeitung personenbezogener Daten, zum freien Datenverkehr und zur Aufhebung der Richtlinie 95/46/EG (Datenschutz-Grundverordnung) können die Daten des EPIS-Protokolls weiterverarbeitet werden, um:</w:t>
      </w:r>
    </w:p>
    <w:p w14:paraId="52824131" w14:textId="77777777" w:rsidR="00FB7E02" w:rsidRPr="00FB7E02" w:rsidRDefault="00FB7E02" w:rsidP="005E0EF3">
      <w:pPr>
        <w:jc w:val="both"/>
        <w:rPr>
          <w:lang w:val="de-DE"/>
        </w:rPr>
      </w:pPr>
    </w:p>
    <w:p w14:paraId="6A0BD5D5" w14:textId="77777777" w:rsidR="00FB7E02" w:rsidRPr="00FB7E02" w:rsidRDefault="00FB7E02" w:rsidP="005E0EF3">
      <w:pPr>
        <w:ind w:firstLine="708"/>
        <w:jc w:val="both"/>
        <w:rPr>
          <w:lang w:val="de-DE"/>
        </w:rPr>
      </w:pPr>
      <w:r w:rsidRPr="00FB7E02">
        <w:rPr>
          <w:lang w:val="de-DE"/>
        </w:rPr>
        <w:t>1. den Mitgliedern der Polizeidienste, die von ihrem Korpschef, Direktor oder Generaldirektor aufgrund ihres Informationsbedarfs bestimmt werden, zu ermöglichen, die in Artikel 15 des Gesetzes vom 5. August 1992 über das Polizeiamt erwähnten Aufträge zu erfüllen, wenn die Ermittlungen in Artikel 90</w:t>
      </w:r>
      <w:r w:rsidRPr="00FB7E02">
        <w:rPr>
          <w:i/>
          <w:iCs/>
          <w:lang w:val="de-DE"/>
        </w:rPr>
        <w:t>ter</w:t>
      </w:r>
      <w:r w:rsidRPr="00FB7E02">
        <w:rPr>
          <w:lang w:val="de-DE"/>
        </w:rPr>
        <w:t xml:space="preserve"> §§ 2 bis 4 des Strafprozessgesetzbuches erwähnte Verbrechen oder Vergehen betreffen. In diesem Rahmen können nur die in Artikel 55/2 § 2 Nr. 1 bis 3 des vorliegenden Gesetzes erwähnten Daten übermittelt werden,</w:t>
      </w:r>
    </w:p>
    <w:p w14:paraId="63172ED5" w14:textId="77777777" w:rsidR="00FB7E02" w:rsidRPr="00FB7E02" w:rsidRDefault="00FB7E02" w:rsidP="005E0EF3">
      <w:pPr>
        <w:jc w:val="both"/>
        <w:rPr>
          <w:lang w:val="de-DE"/>
        </w:rPr>
      </w:pPr>
    </w:p>
    <w:p w14:paraId="0B6C9526" w14:textId="77777777" w:rsidR="00FB7E02" w:rsidRPr="00FB7E02" w:rsidRDefault="00FB7E02" w:rsidP="005E0EF3">
      <w:pPr>
        <w:ind w:firstLine="708"/>
        <w:jc w:val="both"/>
        <w:rPr>
          <w:lang w:val="de-DE"/>
        </w:rPr>
      </w:pPr>
      <w:r w:rsidRPr="00FB7E02">
        <w:rPr>
          <w:lang w:val="de-DE"/>
        </w:rPr>
        <w:t xml:space="preserve">2. den Mitgliedern des </w:t>
      </w:r>
      <w:proofErr w:type="spellStart"/>
      <w:r w:rsidRPr="00FB7E02">
        <w:rPr>
          <w:lang w:val="de-DE"/>
        </w:rPr>
        <w:t>Enquetendienstes</w:t>
      </w:r>
      <w:proofErr w:type="spellEnd"/>
      <w:r w:rsidRPr="00FB7E02">
        <w:rPr>
          <w:lang w:val="de-DE"/>
        </w:rPr>
        <w:t xml:space="preserve"> des Ständigen Ausschusses P zu ermöglichen, die in Artikel 16 des Gesetzes vom 18. Juli 1991 zur Regelung der Kontrolle über die Polizei- und Nachrichtendienste und über das Koordinierungsorgan für die Bedrohungsanalyse erwähnten Aufträge zu erfüllen,</w:t>
      </w:r>
    </w:p>
    <w:p w14:paraId="5FA27844" w14:textId="77777777" w:rsidR="00FB7E02" w:rsidRPr="00FB7E02" w:rsidRDefault="00FB7E02" w:rsidP="005E0EF3">
      <w:pPr>
        <w:jc w:val="both"/>
        <w:rPr>
          <w:lang w:val="de-DE"/>
        </w:rPr>
      </w:pPr>
    </w:p>
    <w:p w14:paraId="76ECC202" w14:textId="77777777" w:rsidR="00FB7E02" w:rsidRPr="00FB7E02" w:rsidRDefault="00FB7E02" w:rsidP="005E0EF3">
      <w:pPr>
        <w:ind w:firstLine="708"/>
        <w:jc w:val="both"/>
        <w:rPr>
          <w:lang w:val="de-DE"/>
        </w:rPr>
      </w:pPr>
      <w:r w:rsidRPr="00FB7E02">
        <w:rPr>
          <w:lang w:val="de-DE"/>
        </w:rPr>
        <w:t>3. den Mitgliedern der Generalinspektion der föderalen Polizei und der lokalen Polizei zu ermöglichen, die in Artikel 4 Nr. 3 und 4 des Gesetzes vom 15. Mai 2007 über die Generalinspektion und zur Festlegung verschiedener Bestimmungen über die Rechtsstellung bestimmter Mitglieder der Polizeidienste erwähnten Aufträge zu erfüllen."</w:t>
      </w:r>
    </w:p>
    <w:p w14:paraId="73DBC9D9" w14:textId="77777777" w:rsidR="00FB7E02" w:rsidRPr="00FB7E02" w:rsidRDefault="00FB7E02" w:rsidP="005E0EF3">
      <w:pPr>
        <w:jc w:val="both"/>
        <w:rPr>
          <w:lang w:val="de-DE"/>
        </w:rPr>
      </w:pPr>
    </w:p>
    <w:p w14:paraId="51DB853D" w14:textId="77777777" w:rsidR="00FB7E02" w:rsidRPr="00FB7E02" w:rsidRDefault="00FB7E02" w:rsidP="005E0EF3">
      <w:pPr>
        <w:jc w:val="both"/>
        <w:rPr>
          <w:lang w:val="de-DE"/>
        </w:rPr>
      </w:pPr>
    </w:p>
    <w:p w14:paraId="6D93554A" w14:textId="77777777" w:rsidR="00FB7E02" w:rsidRPr="00FB7E02" w:rsidRDefault="00FB7E02" w:rsidP="005E0EF3">
      <w:pPr>
        <w:ind w:firstLine="708"/>
        <w:jc w:val="both"/>
        <w:rPr>
          <w:lang w:val="de-DE"/>
        </w:rPr>
      </w:pPr>
      <w:r w:rsidRPr="00FB7E02">
        <w:rPr>
          <w:b/>
          <w:bCs/>
          <w:lang w:val="de-DE"/>
        </w:rPr>
        <w:t>Art. 19</w:t>
      </w:r>
      <w:r w:rsidRPr="00FB7E02">
        <w:rPr>
          <w:b/>
          <w:lang w:val="de-DE"/>
        </w:rPr>
        <w:t> </w:t>
      </w:r>
      <w:r w:rsidRPr="00FB7E02">
        <w:rPr>
          <w:b/>
          <w:bCs/>
          <w:lang w:val="de-DE"/>
        </w:rPr>
        <w:t>-</w:t>
      </w:r>
      <w:r w:rsidRPr="00FB7E02">
        <w:rPr>
          <w:lang w:val="de-DE"/>
        </w:rPr>
        <w:t xml:space="preserve"> In dasselbe Gesetz wird ein Artikel 55/4 mit folgendem Wortlaut eingefügt:</w:t>
      </w:r>
    </w:p>
    <w:p w14:paraId="483BF9CF" w14:textId="77777777" w:rsidR="00FB7E02" w:rsidRPr="00FB7E02" w:rsidRDefault="00FB7E02" w:rsidP="005E0EF3">
      <w:pPr>
        <w:jc w:val="both"/>
        <w:rPr>
          <w:lang w:val="de-DE"/>
        </w:rPr>
      </w:pPr>
    </w:p>
    <w:p w14:paraId="3FEB52D7" w14:textId="77777777" w:rsidR="00FB7E02" w:rsidRPr="00FB7E02" w:rsidRDefault="00FB7E02" w:rsidP="005E0EF3">
      <w:pPr>
        <w:ind w:firstLine="708"/>
        <w:jc w:val="both"/>
        <w:rPr>
          <w:lang w:val="de-DE"/>
        </w:rPr>
      </w:pPr>
      <w:r w:rsidRPr="00FB7E02">
        <w:rPr>
          <w:lang w:val="de-DE"/>
        </w:rPr>
        <w:t>"Art. 55/4 - § 1 ­ Der Betreiber einer Glücksspieleinrichtung der Klassen I und II oder einer ortsfesten Glücksspieleinrichtung der Klasse IV führt ein Register zur Identifizierung von Personen, denen aus beruflichen Gründen der Zugang zum Spielsaal seiner Einrichtung gewährt wird, "Berufsregister" genannt, für das er der für die Verarbeitung Verantwortliche im Sinne von Artikel 4 Nr. 7 der Verordnung (EU) 2016/679 des Europäischen Parlaments und des Rates vom 27. April 2016 zum Schutz natürlicher Personen bei der Verarbeitung personenbezogener Daten, zum freien Datenverkehr und zur Aufhebung der Richtlinie 95/46/EG (Datenschutz-Grundverordnung) ist.</w:t>
      </w:r>
    </w:p>
    <w:p w14:paraId="41D5D760" w14:textId="77777777" w:rsidR="00FB7E02" w:rsidRPr="00FB7E02" w:rsidRDefault="00FB7E02" w:rsidP="005E0EF3">
      <w:pPr>
        <w:jc w:val="both"/>
        <w:rPr>
          <w:lang w:val="de-DE"/>
        </w:rPr>
      </w:pPr>
    </w:p>
    <w:p w14:paraId="43B44C7A" w14:textId="77777777" w:rsidR="00FB7E02" w:rsidRPr="00FB7E02" w:rsidRDefault="00FB7E02" w:rsidP="005E0EF3">
      <w:pPr>
        <w:ind w:firstLine="708"/>
        <w:jc w:val="both"/>
        <w:rPr>
          <w:lang w:val="de-DE"/>
        </w:rPr>
      </w:pPr>
      <w:r w:rsidRPr="00FB7E02">
        <w:rPr>
          <w:lang w:val="de-DE"/>
        </w:rPr>
        <w:lastRenderedPageBreak/>
        <w:t>Das Berufsregister hat zum Zweck, dem Betreiber zu ermöglichen, nachzuweisen, warum er Personen Zugang zum Spielsaal seiner Glücksspieleinrichtung gewährt hat, ohne eine EPIS-Kontrolle für diese Personen durchzuführen.</w:t>
      </w:r>
    </w:p>
    <w:p w14:paraId="76E6AC8C" w14:textId="77777777" w:rsidR="00FB7E02" w:rsidRPr="00FB7E02" w:rsidRDefault="00FB7E02" w:rsidP="005E0EF3">
      <w:pPr>
        <w:jc w:val="both"/>
        <w:rPr>
          <w:lang w:val="de-DE"/>
        </w:rPr>
      </w:pPr>
    </w:p>
    <w:p w14:paraId="0A767AF6" w14:textId="77777777" w:rsidR="00FB7E02" w:rsidRPr="00FB7E02" w:rsidRDefault="00FB7E02" w:rsidP="005E0EF3">
      <w:pPr>
        <w:ind w:firstLine="708"/>
        <w:jc w:val="both"/>
        <w:rPr>
          <w:lang w:val="de-DE"/>
        </w:rPr>
      </w:pPr>
      <w:r w:rsidRPr="00FB7E02">
        <w:rPr>
          <w:lang w:val="de-DE"/>
        </w:rPr>
        <w:t>§ 2 ­ Für jede Person, der aus beruflichen Gründen Zugang zum Spielsaal der Glücksspieleinrichtung gewährt wird, werden folgende Daten im Berufsregister verarbeitet:</w:t>
      </w:r>
    </w:p>
    <w:p w14:paraId="7E57EBD5" w14:textId="77777777" w:rsidR="00FB7E02" w:rsidRPr="00FB7E02" w:rsidRDefault="00FB7E02" w:rsidP="005E0EF3">
      <w:pPr>
        <w:jc w:val="both"/>
        <w:rPr>
          <w:lang w:val="de-DE"/>
        </w:rPr>
      </w:pPr>
    </w:p>
    <w:p w14:paraId="0DFF3AA0" w14:textId="77777777" w:rsidR="00FB7E02" w:rsidRPr="00FB7E02" w:rsidRDefault="00FB7E02" w:rsidP="005E0EF3">
      <w:pPr>
        <w:ind w:firstLine="708"/>
        <w:jc w:val="both"/>
        <w:rPr>
          <w:lang w:val="de-DE"/>
        </w:rPr>
      </w:pPr>
      <w:r w:rsidRPr="00FB7E02">
        <w:rPr>
          <w:lang w:val="de-DE"/>
        </w:rPr>
        <w:t>1. Name und Vornamen,</w:t>
      </w:r>
    </w:p>
    <w:p w14:paraId="1378C380" w14:textId="77777777" w:rsidR="00FB7E02" w:rsidRPr="00FB7E02" w:rsidRDefault="00FB7E02" w:rsidP="005E0EF3">
      <w:pPr>
        <w:jc w:val="both"/>
        <w:rPr>
          <w:lang w:val="de-DE"/>
        </w:rPr>
      </w:pPr>
    </w:p>
    <w:p w14:paraId="1AF0C1E5" w14:textId="77777777" w:rsidR="00FB7E02" w:rsidRPr="00FB7E02" w:rsidRDefault="00FB7E02" w:rsidP="005E0EF3">
      <w:pPr>
        <w:ind w:firstLine="708"/>
        <w:jc w:val="both"/>
        <w:rPr>
          <w:lang w:val="de-DE"/>
        </w:rPr>
      </w:pPr>
      <w:r w:rsidRPr="00FB7E02">
        <w:rPr>
          <w:lang w:val="de-DE"/>
        </w:rPr>
        <w:t>2. Grund, Datum und Uhrzeit der Anwesenheit,</w:t>
      </w:r>
    </w:p>
    <w:p w14:paraId="214B311B" w14:textId="77777777" w:rsidR="00FB7E02" w:rsidRPr="00FB7E02" w:rsidRDefault="00FB7E02" w:rsidP="005E0EF3">
      <w:pPr>
        <w:jc w:val="both"/>
        <w:rPr>
          <w:lang w:val="de-DE"/>
        </w:rPr>
      </w:pPr>
    </w:p>
    <w:p w14:paraId="5CA79426" w14:textId="77777777" w:rsidR="00FB7E02" w:rsidRPr="00FB7E02" w:rsidRDefault="00FB7E02" w:rsidP="005E0EF3">
      <w:pPr>
        <w:ind w:firstLine="708"/>
        <w:jc w:val="both"/>
        <w:rPr>
          <w:lang w:val="de-DE"/>
        </w:rPr>
      </w:pPr>
      <w:r w:rsidRPr="00FB7E02">
        <w:rPr>
          <w:lang w:val="de-DE"/>
        </w:rPr>
        <w:t>3. Unterschrift, der folgender Vermerk vorangestellt ist: "Der Zugang zu dieser Glücksspieleinrichtung wird mir nur im Rahmen meiner beruflichen Tätigkeit gewährt und ich verpflichte mich, in diesem Rahmen nicht an den betriebenen Glücksspielen teilzunehmen."</w:t>
      </w:r>
    </w:p>
    <w:p w14:paraId="23EB709D" w14:textId="77777777" w:rsidR="00FB7E02" w:rsidRPr="00FB7E02" w:rsidRDefault="00FB7E02" w:rsidP="005E0EF3">
      <w:pPr>
        <w:jc w:val="both"/>
        <w:rPr>
          <w:lang w:val="de-DE"/>
        </w:rPr>
      </w:pPr>
    </w:p>
    <w:p w14:paraId="1A4C05B6" w14:textId="77777777" w:rsidR="00FB7E02" w:rsidRPr="00FB7E02" w:rsidRDefault="00FB7E02" w:rsidP="005E0EF3">
      <w:pPr>
        <w:ind w:firstLine="708"/>
        <w:jc w:val="both"/>
        <w:rPr>
          <w:lang w:val="de-DE"/>
        </w:rPr>
      </w:pPr>
      <w:r w:rsidRPr="00FB7E02">
        <w:rPr>
          <w:lang w:val="de-DE"/>
        </w:rPr>
        <w:t>Die in Absatz 1 erwähnten Daten werden für eine Dauer von einem Jahr aufbewahrt.</w:t>
      </w:r>
    </w:p>
    <w:p w14:paraId="7183E650" w14:textId="77777777" w:rsidR="00FB7E02" w:rsidRPr="00FB7E02" w:rsidRDefault="00FB7E02" w:rsidP="005E0EF3">
      <w:pPr>
        <w:jc w:val="both"/>
        <w:rPr>
          <w:lang w:val="de-DE"/>
        </w:rPr>
      </w:pPr>
    </w:p>
    <w:p w14:paraId="6C278B0A" w14:textId="77777777" w:rsidR="00FB7E02" w:rsidRPr="00FB7E02" w:rsidRDefault="00FB7E02" w:rsidP="005E0EF3">
      <w:pPr>
        <w:ind w:firstLine="708"/>
        <w:jc w:val="both"/>
        <w:rPr>
          <w:lang w:val="de-DE"/>
        </w:rPr>
      </w:pPr>
      <w:r w:rsidRPr="00FB7E02">
        <w:rPr>
          <w:lang w:val="de-DE"/>
        </w:rPr>
        <w:t>§ 3 ­ Der Zugriff auf die Daten des Berufsregisters ist auf die Mitglieder des Sekretariats der Kommission, die für die Ermittlung und Feststellung von Verstößen gegen vorliegendes Gesetz und seine Ausführungserlasse zuständig sind, und auf die in Artikel 15 § 3 Absatz 1 erwähnten Polizeibeamten beschränkt."</w:t>
      </w:r>
    </w:p>
    <w:p w14:paraId="440DE1C3" w14:textId="77777777" w:rsidR="00FB7E02" w:rsidRPr="00FB7E02" w:rsidRDefault="00FB7E02" w:rsidP="005E0EF3">
      <w:pPr>
        <w:jc w:val="both"/>
        <w:rPr>
          <w:lang w:val="de-DE"/>
        </w:rPr>
      </w:pPr>
    </w:p>
    <w:p w14:paraId="639ADBAA" w14:textId="77777777" w:rsidR="00FB7E02" w:rsidRPr="00FB7E02" w:rsidRDefault="00FB7E02" w:rsidP="005E0EF3">
      <w:pPr>
        <w:jc w:val="both"/>
        <w:rPr>
          <w:lang w:val="de-DE"/>
        </w:rPr>
      </w:pPr>
    </w:p>
    <w:p w14:paraId="46EA0331" w14:textId="77777777" w:rsidR="00FB7E02" w:rsidRPr="00FB7E02" w:rsidRDefault="00FB7E02" w:rsidP="005E0EF3">
      <w:pPr>
        <w:ind w:firstLine="708"/>
        <w:jc w:val="both"/>
        <w:rPr>
          <w:lang w:val="de-DE"/>
        </w:rPr>
      </w:pPr>
      <w:r w:rsidRPr="00FB7E02">
        <w:rPr>
          <w:b/>
          <w:bCs/>
          <w:lang w:val="de-DE"/>
        </w:rPr>
        <w:t>Art. 20</w:t>
      </w:r>
      <w:r w:rsidRPr="00FB7E02">
        <w:rPr>
          <w:b/>
          <w:lang w:val="de-DE"/>
        </w:rPr>
        <w:t> </w:t>
      </w:r>
      <w:r w:rsidRPr="00FB7E02">
        <w:rPr>
          <w:b/>
          <w:bCs/>
          <w:lang w:val="de-DE"/>
        </w:rPr>
        <w:t>-</w:t>
      </w:r>
      <w:r w:rsidRPr="00FB7E02">
        <w:rPr>
          <w:lang w:val="de-DE"/>
        </w:rPr>
        <w:t xml:space="preserve"> In dasselbe Gesetz wird ein Artikel 55/5 mit folgendem Wortlaut eingefügt:</w:t>
      </w:r>
    </w:p>
    <w:p w14:paraId="1A894100" w14:textId="77777777" w:rsidR="00FB7E02" w:rsidRPr="00FB7E02" w:rsidRDefault="00FB7E02" w:rsidP="005E0EF3">
      <w:pPr>
        <w:jc w:val="both"/>
        <w:rPr>
          <w:lang w:val="de-DE"/>
        </w:rPr>
      </w:pPr>
    </w:p>
    <w:p w14:paraId="1E8F5A72" w14:textId="77777777" w:rsidR="00FB7E02" w:rsidRPr="00FB7E02" w:rsidRDefault="00FB7E02" w:rsidP="005E0EF3">
      <w:pPr>
        <w:ind w:firstLine="708"/>
        <w:jc w:val="both"/>
        <w:rPr>
          <w:lang w:val="de-DE"/>
        </w:rPr>
      </w:pPr>
      <w:r w:rsidRPr="00FB7E02">
        <w:rPr>
          <w:lang w:val="de-DE"/>
        </w:rPr>
        <w:t>"Art. 55/5 - § 1 ­ Wenn EPIS aus irgendeinem Grund, der unabhängig vom Willen des Betreibers ist, nicht abgefragt werden kann, müssen die Daten der Spieler von dem in Artikel 54/1 § 1 erwähnten Lizenzinhaber in einem getrennten Sicherungsregister verarbeitet werden, "Sicherungsregister" genannt, für das er der für die Verarbeitung Verantwortliche im Sinne von Artikel 4 Nr. 7 der Verordnung (EU) 2016/679 des Europäischen Parlaments und des Rates vom 27. April 2016 zum Schutz natürlicher Personen bei der Verarbeitung personen</w:t>
      </w:r>
      <w:r w:rsidRPr="00FB7E02">
        <w:rPr>
          <w:lang w:val="de-DE"/>
        </w:rPr>
        <w:softHyphen/>
        <w:t>bezogener Daten, zum freien Datenverkehr und zur Aufhebung der Richtlinie 95/46/EG (Datenschutz-Grundverordnung) ist.</w:t>
      </w:r>
    </w:p>
    <w:p w14:paraId="7C8D78CA" w14:textId="77777777" w:rsidR="00FB7E02" w:rsidRPr="00FB7E02" w:rsidRDefault="00FB7E02" w:rsidP="005E0EF3">
      <w:pPr>
        <w:jc w:val="both"/>
        <w:rPr>
          <w:lang w:val="de-DE"/>
        </w:rPr>
      </w:pPr>
    </w:p>
    <w:p w14:paraId="5A5FD21F" w14:textId="77777777" w:rsidR="00FB7E02" w:rsidRPr="00FB7E02" w:rsidRDefault="00FB7E02" w:rsidP="005E0EF3">
      <w:pPr>
        <w:ind w:firstLine="708"/>
        <w:jc w:val="both"/>
        <w:rPr>
          <w:lang w:val="de-DE"/>
        </w:rPr>
      </w:pPr>
      <w:r w:rsidRPr="00FB7E02">
        <w:rPr>
          <w:lang w:val="de-DE"/>
        </w:rPr>
        <w:t>Wenn EPIS aus irgendeinem Grund, der unabhängig vom Willen des Betreibers ist, nicht anhand des in Artikel 54/1 § 3 erwähnten EDV-Systems abgefragt werden kann, kann der in Artikel 54/1 § 3 erwähnte Lizenzinhaber den Apparat nach Überprüfung der Identität und des Alters des potenziellen Spielers anhand einer Betreiberkarte aktivieren.</w:t>
      </w:r>
    </w:p>
    <w:p w14:paraId="290CC91A" w14:textId="77777777" w:rsidR="00FB7E02" w:rsidRPr="00FB7E02" w:rsidRDefault="00FB7E02" w:rsidP="005E0EF3">
      <w:pPr>
        <w:jc w:val="both"/>
        <w:rPr>
          <w:lang w:val="de-DE"/>
        </w:rPr>
      </w:pPr>
    </w:p>
    <w:p w14:paraId="6A8BBC1D" w14:textId="77777777" w:rsidR="00FB7E02" w:rsidRPr="00FB7E02" w:rsidRDefault="00FB7E02" w:rsidP="005E0EF3">
      <w:pPr>
        <w:ind w:firstLine="708"/>
        <w:jc w:val="both"/>
        <w:rPr>
          <w:lang w:val="de-DE"/>
        </w:rPr>
      </w:pPr>
      <w:r w:rsidRPr="00FB7E02">
        <w:rPr>
          <w:lang w:val="de-DE"/>
        </w:rPr>
        <w:t>Das Sicherungsregister hat zum Zweck, den Betreibern von Glücksspieleinrichtungen zu ermöglichen, die EPIS-Kontrollen von Spielern durchzuführen, sobald EPIS wieder verfügbar ist, und den Personen, denen die Teilnahme an Glücksspielen untersagt ist, den Zugang zu den Spielsälen der Glücksspieleinrichtungen oder den Spielautomaten zu untersagen.</w:t>
      </w:r>
    </w:p>
    <w:p w14:paraId="0DBCA44B" w14:textId="77777777" w:rsidR="00FB7E02" w:rsidRPr="00FB7E02" w:rsidRDefault="00FB7E02" w:rsidP="005E0EF3">
      <w:pPr>
        <w:jc w:val="both"/>
        <w:rPr>
          <w:lang w:val="de-DE"/>
        </w:rPr>
      </w:pPr>
    </w:p>
    <w:p w14:paraId="18F7791C" w14:textId="77777777" w:rsidR="00FB7E02" w:rsidRPr="00FB7E02" w:rsidRDefault="00FB7E02" w:rsidP="005E0EF3">
      <w:pPr>
        <w:ind w:firstLine="708"/>
        <w:jc w:val="both"/>
        <w:rPr>
          <w:lang w:val="de-DE"/>
        </w:rPr>
      </w:pPr>
      <w:r w:rsidRPr="00FB7E02">
        <w:rPr>
          <w:lang w:val="de-DE"/>
        </w:rPr>
        <w:t>§ 2 ­ Für jeden Spieler werden folgende Daten im Sicherungsregister verarbeitet:</w:t>
      </w:r>
    </w:p>
    <w:p w14:paraId="68EDF2EC" w14:textId="77777777" w:rsidR="00FB7E02" w:rsidRPr="00FB7E02" w:rsidRDefault="00FB7E02" w:rsidP="005E0EF3">
      <w:pPr>
        <w:jc w:val="both"/>
        <w:rPr>
          <w:lang w:val="de-DE"/>
        </w:rPr>
      </w:pPr>
    </w:p>
    <w:p w14:paraId="0B8D3A14" w14:textId="77777777" w:rsidR="00FB7E02" w:rsidRPr="00FB7E02" w:rsidRDefault="00FB7E02" w:rsidP="005E0EF3">
      <w:pPr>
        <w:ind w:firstLine="708"/>
        <w:jc w:val="both"/>
        <w:rPr>
          <w:lang w:val="de-DE"/>
        </w:rPr>
      </w:pPr>
      <w:r w:rsidRPr="00FB7E02">
        <w:rPr>
          <w:lang w:val="de-DE"/>
        </w:rPr>
        <w:t>1. Name und Vornamen,</w:t>
      </w:r>
    </w:p>
    <w:p w14:paraId="43F9CBC9" w14:textId="77777777" w:rsidR="00FB7E02" w:rsidRPr="00FB7E02" w:rsidRDefault="00FB7E02" w:rsidP="005E0EF3">
      <w:pPr>
        <w:jc w:val="both"/>
        <w:rPr>
          <w:lang w:val="de-DE"/>
        </w:rPr>
      </w:pPr>
    </w:p>
    <w:p w14:paraId="610BB289" w14:textId="77777777" w:rsidR="00FB7E02" w:rsidRPr="00FB7E02" w:rsidRDefault="00FB7E02" w:rsidP="005E0EF3">
      <w:pPr>
        <w:ind w:firstLine="708"/>
        <w:jc w:val="both"/>
        <w:rPr>
          <w:lang w:val="de-DE"/>
        </w:rPr>
      </w:pPr>
      <w:r w:rsidRPr="00FB7E02">
        <w:rPr>
          <w:lang w:val="de-DE"/>
        </w:rPr>
        <w:t>2. Geburtsdatum,</w:t>
      </w:r>
    </w:p>
    <w:p w14:paraId="18CD2DC7" w14:textId="77777777" w:rsidR="00FB7E02" w:rsidRPr="00FB7E02" w:rsidRDefault="00FB7E02" w:rsidP="005E0EF3">
      <w:pPr>
        <w:jc w:val="both"/>
        <w:rPr>
          <w:lang w:val="de-DE"/>
        </w:rPr>
      </w:pPr>
    </w:p>
    <w:p w14:paraId="1261F660" w14:textId="77777777" w:rsidR="00FB7E02" w:rsidRPr="00FB7E02" w:rsidRDefault="00FB7E02" w:rsidP="005E0EF3">
      <w:pPr>
        <w:ind w:firstLine="708"/>
        <w:jc w:val="both"/>
        <w:rPr>
          <w:lang w:val="de-DE"/>
        </w:rPr>
      </w:pPr>
      <w:r w:rsidRPr="00FB7E02">
        <w:rPr>
          <w:lang w:val="de-DE"/>
        </w:rPr>
        <w:t xml:space="preserve">3. Erkennungsnummer des Nationalregisters der natürlichen Personen oder, wenn diese nicht verfügbar ist, Nummer des von einem anderen Mitgliedstaat des Europäischen Wirtschaftsraums ausgestellten Personalausweises, Nummer des Reisepasses oder hilfsweise in Artikel 8 § 1 Nr. 2 des Gesetzes vom 15. Januar 1990 über die Errichtung und Organisation einer </w:t>
      </w:r>
      <w:proofErr w:type="spellStart"/>
      <w:r w:rsidRPr="00FB7E02">
        <w:rPr>
          <w:lang w:val="de-DE"/>
        </w:rPr>
        <w:t>Zentralen</w:t>
      </w:r>
      <w:proofErr w:type="spellEnd"/>
      <w:r w:rsidRPr="00FB7E02">
        <w:rPr>
          <w:lang w:val="de-DE"/>
        </w:rPr>
        <w:t xml:space="preserve"> Datenbank der sozialen Sicherheit erwähnte Erkennungsnummer der Zentralen Datenbank.</w:t>
      </w:r>
    </w:p>
    <w:p w14:paraId="53357480" w14:textId="77777777" w:rsidR="00FB7E02" w:rsidRPr="00FB7E02" w:rsidRDefault="00FB7E02" w:rsidP="005E0EF3">
      <w:pPr>
        <w:jc w:val="both"/>
        <w:rPr>
          <w:lang w:val="de-DE"/>
        </w:rPr>
      </w:pPr>
    </w:p>
    <w:p w14:paraId="44C3321C" w14:textId="77777777" w:rsidR="00FB7E02" w:rsidRPr="00FB7E02" w:rsidRDefault="00FB7E02" w:rsidP="005E0EF3">
      <w:pPr>
        <w:ind w:firstLine="708"/>
        <w:jc w:val="both"/>
        <w:rPr>
          <w:lang w:val="de-DE"/>
        </w:rPr>
      </w:pPr>
      <w:r w:rsidRPr="00FB7E02">
        <w:rPr>
          <w:lang w:val="de-DE"/>
        </w:rPr>
        <w:t>§ 3 ­ Der Zugriff auf die Daten des Sicherungsregisters ist auf die Mitglieder des Sekretariats der Kommission, die für die Ermittlung und Feststellung von Verstößen gegen vorliegendes Gesetz und seine Ausführungserlasse zuständig sind, und auf die in Artikel 15 § 3 Absatz 1 erwähnten Polizeibeamten beschränkt.</w:t>
      </w:r>
    </w:p>
    <w:p w14:paraId="0F662D53" w14:textId="77777777" w:rsidR="00FB7E02" w:rsidRPr="00FB7E02" w:rsidRDefault="00FB7E02" w:rsidP="005E0EF3">
      <w:pPr>
        <w:jc w:val="both"/>
        <w:rPr>
          <w:lang w:val="de-DE"/>
        </w:rPr>
      </w:pPr>
    </w:p>
    <w:p w14:paraId="5DE571C3" w14:textId="77777777" w:rsidR="00FB7E02" w:rsidRPr="00FB7E02" w:rsidRDefault="00FB7E02" w:rsidP="005E0EF3">
      <w:pPr>
        <w:ind w:firstLine="708"/>
        <w:jc w:val="both"/>
        <w:rPr>
          <w:lang w:val="de-DE"/>
        </w:rPr>
      </w:pPr>
      <w:r w:rsidRPr="00FB7E02">
        <w:rPr>
          <w:lang w:val="de-DE"/>
        </w:rPr>
        <w:t>§ 4 ­ Der Lizenzinhaber informiert die Kommission für Glücksspiele und den von der Kommission für das Hosting von EPIS und die Verwaltung des Zugriffs auf dieses System ausgewählten Subunternehmer unverzüglich darüber, dass EPIS nicht abgefragt werden kann.</w:t>
      </w:r>
    </w:p>
    <w:p w14:paraId="464A30EA" w14:textId="77777777" w:rsidR="00FB7E02" w:rsidRPr="00FB7E02" w:rsidRDefault="00FB7E02" w:rsidP="005E0EF3">
      <w:pPr>
        <w:jc w:val="both"/>
        <w:rPr>
          <w:lang w:val="de-DE"/>
        </w:rPr>
      </w:pPr>
    </w:p>
    <w:p w14:paraId="27434A24" w14:textId="77777777" w:rsidR="00FB7E02" w:rsidRPr="00FB7E02" w:rsidRDefault="00FB7E02" w:rsidP="005E0EF3">
      <w:pPr>
        <w:ind w:firstLine="708"/>
        <w:jc w:val="both"/>
        <w:rPr>
          <w:lang w:val="de-DE"/>
        </w:rPr>
      </w:pPr>
      <w:r w:rsidRPr="00FB7E02">
        <w:rPr>
          <w:lang w:val="de-DE"/>
        </w:rPr>
        <w:t>Wenn EPIS wieder abgefragt werden kann, müssen alle Spieler, die im Sicherungsregister aufgeführt sind, vom Lizenzinhaber mit Vermerk des Tages und des Zeitpunkts des Besuchs kontrolliert werden. Wenn diesen Spielern der Zugang verweigert zu sein scheint, muss ihnen unverzüglich der Zugang oder die Teilnahme untersagt werden und muss die Kommission unverzüglich davon in Kenntnis gesetzt werden.</w:t>
      </w:r>
    </w:p>
    <w:p w14:paraId="5B800558" w14:textId="77777777" w:rsidR="00FB7E02" w:rsidRPr="00FB7E02" w:rsidRDefault="00FB7E02" w:rsidP="005E0EF3">
      <w:pPr>
        <w:jc w:val="both"/>
        <w:rPr>
          <w:lang w:val="de-DE"/>
        </w:rPr>
      </w:pPr>
    </w:p>
    <w:p w14:paraId="5959D8A2" w14:textId="77777777" w:rsidR="00FB7E02" w:rsidRPr="00FB7E02" w:rsidRDefault="00FB7E02" w:rsidP="005E0EF3">
      <w:pPr>
        <w:ind w:firstLine="708"/>
        <w:jc w:val="both"/>
        <w:rPr>
          <w:lang w:val="de-DE"/>
        </w:rPr>
      </w:pPr>
      <w:r w:rsidRPr="00FB7E02">
        <w:rPr>
          <w:lang w:val="de-DE"/>
        </w:rPr>
        <w:t>Nach dieser Kontrolle muss der Lizenzinhaber das Sicherungsregister unverzüglich vernichten."</w:t>
      </w:r>
    </w:p>
    <w:p w14:paraId="66D8AC9F" w14:textId="77777777" w:rsidR="00FB7E02" w:rsidRPr="00FB7E02" w:rsidRDefault="00FB7E02" w:rsidP="005E0EF3">
      <w:pPr>
        <w:jc w:val="both"/>
        <w:rPr>
          <w:lang w:val="de-DE"/>
        </w:rPr>
      </w:pPr>
    </w:p>
    <w:p w14:paraId="21632D93" w14:textId="77777777" w:rsidR="00FB7E02" w:rsidRPr="00FB7E02" w:rsidRDefault="00FB7E02" w:rsidP="005E0EF3">
      <w:pPr>
        <w:jc w:val="both"/>
        <w:rPr>
          <w:lang w:val="de-DE"/>
        </w:rPr>
      </w:pPr>
    </w:p>
    <w:p w14:paraId="74D823C3" w14:textId="77777777" w:rsidR="00FB7E02" w:rsidRPr="00FB7E02" w:rsidRDefault="00FB7E02" w:rsidP="005E0EF3">
      <w:pPr>
        <w:ind w:firstLine="708"/>
        <w:jc w:val="both"/>
        <w:rPr>
          <w:lang w:val="de-DE"/>
        </w:rPr>
      </w:pPr>
      <w:r w:rsidRPr="00FB7E02">
        <w:rPr>
          <w:b/>
          <w:bCs/>
          <w:lang w:val="de-DE"/>
        </w:rPr>
        <w:t>Art. 21</w:t>
      </w:r>
      <w:r w:rsidRPr="00FB7E02">
        <w:rPr>
          <w:b/>
          <w:lang w:val="de-DE"/>
        </w:rPr>
        <w:t> </w:t>
      </w:r>
      <w:r w:rsidRPr="00FB7E02">
        <w:rPr>
          <w:b/>
          <w:bCs/>
          <w:lang w:val="de-DE"/>
        </w:rPr>
        <w:t>-</w:t>
      </w:r>
      <w:r w:rsidRPr="00FB7E02">
        <w:rPr>
          <w:lang w:val="de-DE"/>
        </w:rPr>
        <w:t xml:space="preserve"> In Artikel 61 Absatz 3 desselben Gesetzes, eingefügt durch das Gesetz vom 10. Januar 2010, werden zwischen den Wörtern "der Klassen I, II, III und IV" und dem Wort "Faltblätter" die Wörter "und den in Artikel 43/4 § 5 Nr. 1 erwähnten Lizenzinhabern" eingefügt.</w:t>
      </w:r>
    </w:p>
    <w:p w14:paraId="22E0D4FF" w14:textId="77777777" w:rsidR="00FB7E02" w:rsidRPr="00FB7E02" w:rsidRDefault="00FB7E02" w:rsidP="005E0EF3">
      <w:pPr>
        <w:jc w:val="both"/>
        <w:rPr>
          <w:lang w:val="de-DE"/>
        </w:rPr>
      </w:pPr>
    </w:p>
    <w:p w14:paraId="2657F682" w14:textId="77777777" w:rsidR="00FB7E02" w:rsidRPr="00FB7E02" w:rsidRDefault="00FB7E02" w:rsidP="005E0EF3">
      <w:pPr>
        <w:jc w:val="both"/>
        <w:rPr>
          <w:lang w:val="de-DE"/>
        </w:rPr>
      </w:pPr>
    </w:p>
    <w:p w14:paraId="179891BA" w14:textId="77777777" w:rsidR="00FB7E02" w:rsidRPr="00FB7E02" w:rsidRDefault="00FB7E02" w:rsidP="005E0EF3">
      <w:pPr>
        <w:ind w:firstLine="708"/>
        <w:jc w:val="both"/>
        <w:rPr>
          <w:lang w:val="de-DE"/>
        </w:rPr>
      </w:pPr>
      <w:r w:rsidRPr="00FB7E02">
        <w:rPr>
          <w:b/>
          <w:bCs/>
          <w:lang w:val="de-DE"/>
        </w:rPr>
        <w:t>Art. 22</w:t>
      </w:r>
      <w:r w:rsidRPr="00FB7E02">
        <w:rPr>
          <w:b/>
          <w:lang w:val="de-DE"/>
        </w:rPr>
        <w:t> </w:t>
      </w:r>
      <w:r w:rsidRPr="00FB7E02">
        <w:rPr>
          <w:b/>
          <w:bCs/>
          <w:lang w:val="de-DE"/>
        </w:rPr>
        <w:t>-</w:t>
      </w:r>
      <w:r w:rsidRPr="00FB7E02">
        <w:rPr>
          <w:lang w:val="de-DE"/>
        </w:rPr>
        <w:t xml:space="preserve"> In Artikel 63 desselben Gesetzes, zuletzt abgeändert durch das Gesetz vom 10. Januar 2010, werden die Wörter "mit einer Gefängnisstrafe von sechs Monaten bis fünf Jahren und mit einer Geldstrafe von hundert bis hunderttausend Euro oder lediglich mit einer dieser Strafen belegt" durch die Wörter "mit einer Geldbuße von 26 bis 120.000 EUR belegt" ersetzt.</w:t>
      </w:r>
    </w:p>
    <w:p w14:paraId="531B3E66" w14:textId="77777777" w:rsidR="00FB7E02" w:rsidRPr="00FB7E02" w:rsidRDefault="00FB7E02" w:rsidP="005E0EF3">
      <w:pPr>
        <w:jc w:val="both"/>
        <w:rPr>
          <w:lang w:val="de-DE"/>
        </w:rPr>
      </w:pPr>
    </w:p>
    <w:p w14:paraId="5735A0E0" w14:textId="77777777" w:rsidR="00FB7E02" w:rsidRPr="00FB7E02" w:rsidRDefault="00FB7E02" w:rsidP="005E0EF3">
      <w:pPr>
        <w:jc w:val="both"/>
        <w:rPr>
          <w:lang w:val="de-DE"/>
        </w:rPr>
      </w:pPr>
    </w:p>
    <w:p w14:paraId="3F6998B4" w14:textId="77777777" w:rsidR="00FB7E02" w:rsidRPr="00FB7E02" w:rsidRDefault="00FB7E02" w:rsidP="005E0EF3">
      <w:pPr>
        <w:ind w:firstLine="708"/>
        <w:jc w:val="both"/>
        <w:rPr>
          <w:lang w:val="de-DE"/>
        </w:rPr>
      </w:pPr>
      <w:r w:rsidRPr="00FB7E02">
        <w:rPr>
          <w:b/>
          <w:bCs/>
          <w:lang w:val="de-DE"/>
        </w:rPr>
        <w:t>Art. 23</w:t>
      </w:r>
      <w:r w:rsidRPr="00FB7E02">
        <w:rPr>
          <w:b/>
          <w:lang w:val="de-DE"/>
        </w:rPr>
        <w:t> </w:t>
      </w:r>
      <w:r w:rsidRPr="00FB7E02">
        <w:rPr>
          <w:b/>
          <w:bCs/>
          <w:lang w:val="de-DE"/>
        </w:rPr>
        <w:t>-</w:t>
      </w:r>
      <w:r w:rsidRPr="00FB7E02">
        <w:rPr>
          <w:lang w:val="de-DE"/>
        </w:rPr>
        <w:t xml:space="preserve"> Artikel 64 desselben Gesetzes, zuletzt abgeändert durch das Gesetz vom 18. Januar 2024, wird wie folgt ersetzt:</w:t>
      </w:r>
    </w:p>
    <w:p w14:paraId="5113F75F" w14:textId="77777777" w:rsidR="00FB7E02" w:rsidRPr="00FB7E02" w:rsidRDefault="00FB7E02" w:rsidP="005E0EF3">
      <w:pPr>
        <w:jc w:val="both"/>
        <w:rPr>
          <w:lang w:val="de-DE"/>
        </w:rPr>
      </w:pPr>
    </w:p>
    <w:p w14:paraId="0605EA61" w14:textId="77777777" w:rsidR="00FB7E02" w:rsidRPr="00FB7E02" w:rsidRDefault="00FB7E02" w:rsidP="005E0EF3">
      <w:pPr>
        <w:ind w:firstLine="708"/>
        <w:jc w:val="both"/>
        <w:rPr>
          <w:lang w:val="de-DE"/>
        </w:rPr>
      </w:pPr>
      <w:r w:rsidRPr="00FB7E02">
        <w:rPr>
          <w:lang w:val="de-DE"/>
        </w:rPr>
        <w:t>"Art. 64 ­ Wer als Täter gegen die Artikel 4 § 2, § 4 und § 5, 43/1, 43/2, 43/2/1, 43/3, 43/4, 60, 61 Absatz 2 und 3 und gegen die in Ausführung dieser Artikel ergangenen Erlasse verstößt, wird mit einer Geldbuße von 26 bis 72.000 EUR belegt."</w:t>
      </w:r>
    </w:p>
    <w:p w14:paraId="2BFD502D" w14:textId="77777777" w:rsidR="00FB7E02" w:rsidRPr="00FB7E02" w:rsidRDefault="00FB7E02" w:rsidP="005E0EF3">
      <w:pPr>
        <w:jc w:val="both"/>
        <w:rPr>
          <w:lang w:val="de-DE"/>
        </w:rPr>
      </w:pPr>
    </w:p>
    <w:p w14:paraId="2FF98605" w14:textId="77777777" w:rsidR="00FB7E02" w:rsidRPr="00FB7E02" w:rsidRDefault="00FB7E02" w:rsidP="005E0EF3">
      <w:pPr>
        <w:jc w:val="both"/>
        <w:rPr>
          <w:lang w:val="de-DE"/>
        </w:rPr>
      </w:pPr>
    </w:p>
    <w:p w14:paraId="12974616" w14:textId="77777777" w:rsidR="00FB7E02" w:rsidRPr="00FB7E02" w:rsidRDefault="00FB7E02" w:rsidP="005E0EF3">
      <w:pPr>
        <w:ind w:firstLine="708"/>
        <w:jc w:val="both"/>
        <w:rPr>
          <w:lang w:val="de-DE"/>
        </w:rPr>
      </w:pPr>
      <w:r w:rsidRPr="00FB7E02">
        <w:rPr>
          <w:b/>
          <w:bCs/>
          <w:lang w:val="de-DE"/>
        </w:rPr>
        <w:t>Art. 24</w:t>
      </w:r>
      <w:r w:rsidRPr="00FB7E02">
        <w:rPr>
          <w:b/>
          <w:lang w:val="de-DE"/>
        </w:rPr>
        <w:t> </w:t>
      </w:r>
      <w:r w:rsidRPr="00FB7E02">
        <w:rPr>
          <w:b/>
          <w:bCs/>
          <w:lang w:val="de-DE"/>
        </w:rPr>
        <w:t>-</w:t>
      </w:r>
      <w:r w:rsidRPr="00FB7E02">
        <w:rPr>
          <w:lang w:val="de-DE"/>
        </w:rPr>
        <w:t xml:space="preserve"> In Artikel 65 Nr. 2 desselben Gesetzes werden die Wörter "einer Person unter achtzehn Jahren" durch die Wörter "einer Person unter einundzwanzig Jahren" ersetzt.</w:t>
      </w:r>
    </w:p>
    <w:p w14:paraId="50686C6B" w14:textId="77777777" w:rsidR="00FB7E02" w:rsidRPr="00FB7E02" w:rsidRDefault="00FB7E02" w:rsidP="005E0EF3">
      <w:pPr>
        <w:jc w:val="both"/>
        <w:rPr>
          <w:lang w:val="de-DE"/>
        </w:rPr>
      </w:pPr>
    </w:p>
    <w:p w14:paraId="51142813" w14:textId="77777777" w:rsidR="00FB7E02" w:rsidRPr="00FB7E02" w:rsidRDefault="00FB7E02" w:rsidP="005E0EF3">
      <w:pPr>
        <w:jc w:val="both"/>
        <w:rPr>
          <w:lang w:val="de-DE"/>
        </w:rPr>
      </w:pPr>
    </w:p>
    <w:p w14:paraId="0D524DA0" w14:textId="77777777" w:rsidR="00FB7E02" w:rsidRPr="00FB7E02" w:rsidRDefault="00FB7E02" w:rsidP="005E0EF3">
      <w:pPr>
        <w:jc w:val="both"/>
        <w:rPr>
          <w:lang w:val="de-DE"/>
        </w:rPr>
      </w:pPr>
      <w:r w:rsidRPr="00FB7E02">
        <w:rPr>
          <w:lang w:val="de-DE"/>
        </w:rPr>
        <w:t xml:space="preserve">KAPITEL 3 - </w:t>
      </w:r>
      <w:r w:rsidRPr="00FB7E02">
        <w:rPr>
          <w:i/>
          <w:lang w:val="de-DE"/>
        </w:rPr>
        <w:t>Bestätigung des Königlichen Erlasses vom 31. Januar 2024 über den von Inhabern von A-, A+-, B-, B+-, C-, E-, F1-, F1+- und F2-Lizenzen für das Kalenderjahr 2024 geschuldeten Beitrag zu den Kosten für Betrieb, Personal und Einrichtung der Kommission für Glücksspiele</w:t>
      </w:r>
    </w:p>
    <w:p w14:paraId="2978BC1B" w14:textId="77777777" w:rsidR="00FB7E02" w:rsidRPr="00FB7E02" w:rsidRDefault="00FB7E02" w:rsidP="005E0EF3">
      <w:pPr>
        <w:jc w:val="both"/>
        <w:rPr>
          <w:lang w:val="de-DE"/>
        </w:rPr>
      </w:pPr>
    </w:p>
    <w:p w14:paraId="17D52E81" w14:textId="77777777" w:rsidR="00FB7E02" w:rsidRPr="00FB7E02" w:rsidRDefault="00FB7E02" w:rsidP="005E0EF3">
      <w:pPr>
        <w:jc w:val="both"/>
        <w:rPr>
          <w:lang w:val="de-DE"/>
        </w:rPr>
      </w:pPr>
    </w:p>
    <w:p w14:paraId="6865C468" w14:textId="77777777" w:rsidR="00FB7E02" w:rsidRPr="00FB7E02" w:rsidRDefault="00FB7E02" w:rsidP="005E0EF3">
      <w:pPr>
        <w:ind w:firstLine="708"/>
        <w:jc w:val="both"/>
        <w:rPr>
          <w:lang w:val="de-DE"/>
        </w:rPr>
      </w:pPr>
      <w:r w:rsidRPr="00FB7E02">
        <w:rPr>
          <w:b/>
          <w:bCs/>
          <w:lang w:val="de-DE"/>
        </w:rPr>
        <w:t>Art. 25</w:t>
      </w:r>
      <w:r w:rsidRPr="00FB7E02">
        <w:rPr>
          <w:b/>
          <w:lang w:val="de-DE"/>
        </w:rPr>
        <w:t> </w:t>
      </w:r>
      <w:r w:rsidRPr="00FB7E02">
        <w:rPr>
          <w:b/>
          <w:bCs/>
          <w:lang w:val="de-DE"/>
        </w:rPr>
        <w:t>-</w:t>
      </w:r>
      <w:r w:rsidRPr="00FB7E02">
        <w:rPr>
          <w:lang w:val="de-DE"/>
        </w:rPr>
        <w:t xml:space="preserve"> Der Königliche Erlass vom 31. Januar 2024 über den von Inhabern von A-, A+-, B-, B+-, C-, E-, F1-, F1+- und F2-Lizenzen für das Kalenderjahr 2024 geschuldeten Beitrag zu den Kosten für Betrieb, Personal und Einrichtung der Kommission für Glücksspiele wird mit Wirkung am Datum seines Inkrafttretens bestätigt.</w:t>
      </w:r>
    </w:p>
    <w:p w14:paraId="232CB6CE" w14:textId="77777777" w:rsidR="00FB7E02" w:rsidRPr="00FB7E02" w:rsidRDefault="00FB7E02" w:rsidP="005E0EF3">
      <w:pPr>
        <w:jc w:val="both"/>
        <w:rPr>
          <w:lang w:val="de-DE"/>
        </w:rPr>
      </w:pPr>
    </w:p>
    <w:p w14:paraId="056DBB54" w14:textId="77777777" w:rsidR="00FB7E02" w:rsidRPr="00FB7E02" w:rsidRDefault="00FB7E02" w:rsidP="005E0EF3">
      <w:pPr>
        <w:jc w:val="both"/>
        <w:rPr>
          <w:lang w:val="de-DE"/>
        </w:rPr>
      </w:pPr>
    </w:p>
    <w:p w14:paraId="5DB84BB9" w14:textId="77777777" w:rsidR="00FB7E02" w:rsidRPr="00FB7E02" w:rsidRDefault="00FB7E02" w:rsidP="005E0EF3">
      <w:pPr>
        <w:jc w:val="center"/>
        <w:rPr>
          <w:lang w:val="de-DE"/>
        </w:rPr>
      </w:pPr>
      <w:r w:rsidRPr="00FB7E02">
        <w:rPr>
          <w:lang w:val="de-DE"/>
        </w:rPr>
        <w:t xml:space="preserve">KAPITEL 4 - </w:t>
      </w:r>
      <w:r w:rsidRPr="00FB7E02">
        <w:rPr>
          <w:i/>
          <w:iCs/>
          <w:lang w:val="de-DE"/>
        </w:rPr>
        <w:t>Aufhebungsbestimmungen</w:t>
      </w:r>
    </w:p>
    <w:p w14:paraId="023DD99E" w14:textId="77777777" w:rsidR="00FB7E02" w:rsidRPr="00FB7E02" w:rsidRDefault="00FB7E02" w:rsidP="005E0EF3">
      <w:pPr>
        <w:jc w:val="both"/>
        <w:rPr>
          <w:lang w:val="de-DE"/>
        </w:rPr>
      </w:pPr>
    </w:p>
    <w:p w14:paraId="19D23AF9" w14:textId="77777777" w:rsidR="00FB7E02" w:rsidRPr="00FB7E02" w:rsidRDefault="00FB7E02" w:rsidP="005E0EF3">
      <w:pPr>
        <w:jc w:val="both"/>
        <w:rPr>
          <w:lang w:val="de-DE"/>
        </w:rPr>
      </w:pPr>
    </w:p>
    <w:p w14:paraId="312D1B42" w14:textId="77777777" w:rsidR="00FB7E02" w:rsidRPr="00FB7E02" w:rsidRDefault="00FB7E02" w:rsidP="005E0EF3">
      <w:pPr>
        <w:ind w:firstLine="708"/>
        <w:jc w:val="both"/>
        <w:rPr>
          <w:lang w:val="de-DE"/>
        </w:rPr>
      </w:pPr>
      <w:r w:rsidRPr="00FB7E02">
        <w:rPr>
          <w:b/>
          <w:bCs/>
          <w:lang w:val="de-DE"/>
        </w:rPr>
        <w:t>Art. 26</w:t>
      </w:r>
      <w:r w:rsidRPr="00FB7E02">
        <w:rPr>
          <w:b/>
          <w:lang w:val="de-DE"/>
        </w:rPr>
        <w:t> </w:t>
      </w:r>
      <w:r w:rsidRPr="00FB7E02">
        <w:rPr>
          <w:b/>
          <w:bCs/>
          <w:lang w:val="de-DE"/>
        </w:rPr>
        <w:t>-</w:t>
      </w:r>
      <w:r w:rsidRPr="00FB7E02">
        <w:rPr>
          <w:lang w:val="de-DE"/>
        </w:rPr>
        <w:t xml:space="preserve"> Artikel 62 desselben Gesetzes, abgeändert durch die Gesetze vom 10. Januar 2010, 7. Mai 2019 und 30. Juli 2022, wird aufgehoben.</w:t>
      </w:r>
    </w:p>
    <w:p w14:paraId="2A7B7152" w14:textId="77777777" w:rsidR="00FB7E02" w:rsidRPr="00FB7E02" w:rsidRDefault="00FB7E02" w:rsidP="005E0EF3">
      <w:pPr>
        <w:jc w:val="both"/>
        <w:rPr>
          <w:lang w:val="de-DE"/>
        </w:rPr>
      </w:pPr>
    </w:p>
    <w:p w14:paraId="5CB70F0F" w14:textId="77777777" w:rsidR="00FB7E02" w:rsidRPr="00FB7E02" w:rsidRDefault="00FB7E02" w:rsidP="005E0EF3">
      <w:pPr>
        <w:jc w:val="both"/>
        <w:rPr>
          <w:lang w:val="de-DE"/>
        </w:rPr>
      </w:pPr>
    </w:p>
    <w:p w14:paraId="75C99C18" w14:textId="77777777" w:rsidR="00FB7E02" w:rsidRPr="00FB7E02" w:rsidRDefault="00FB7E02" w:rsidP="005E0EF3">
      <w:pPr>
        <w:ind w:firstLine="708"/>
        <w:jc w:val="both"/>
        <w:rPr>
          <w:lang w:val="de-DE"/>
        </w:rPr>
      </w:pPr>
      <w:r w:rsidRPr="00FB7E02">
        <w:rPr>
          <w:b/>
          <w:bCs/>
          <w:lang w:val="de-DE"/>
        </w:rPr>
        <w:t>Art. 27</w:t>
      </w:r>
      <w:r w:rsidRPr="00FB7E02">
        <w:rPr>
          <w:b/>
          <w:lang w:val="de-DE"/>
        </w:rPr>
        <w:t> </w:t>
      </w:r>
      <w:r w:rsidRPr="00FB7E02">
        <w:rPr>
          <w:b/>
          <w:bCs/>
          <w:lang w:val="de-DE"/>
        </w:rPr>
        <w:t>-</w:t>
      </w:r>
      <w:r w:rsidRPr="00FB7E02">
        <w:rPr>
          <w:lang w:val="de-DE"/>
        </w:rPr>
        <w:t xml:space="preserve"> Der Königliche Erlass vom 26. Juni 2002 zur Festlegung der Modalitäten für die Entgegennahme von Klagen und Beschwerden durch die Kommission für Glücksspiele wird aufgehoben.</w:t>
      </w:r>
    </w:p>
    <w:p w14:paraId="52764944" w14:textId="77777777" w:rsidR="00FB7E02" w:rsidRPr="00FB7E02" w:rsidRDefault="00FB7E02" w:rsidP="005E0EF3">
      <w:pPr>
        <w:jc w:val="both"/>
        <w:rPr>
          <w:lang w:val="de-DE"/>
        </w:rPr>
      </w:pPr>
    </w:p>
    <w:p w14:paraId="1EE59BFC" w14:textId="77777777" w:rsidR="00FB7E02" w:rsidRPr="00FB7E02" w:rsidRDefault="00FB7E02" w:rsidP="005E0EF3">
      <w:pPr>
        <w:jc w:val="both"/>
        <w:rPr>
          <w:lang w:val="de-DE"/>
        </w:rPr>
      </w:pPr>
    </w:p>
    <w:p w14:paraId="699DC3B3" w14:textId="77777777" w:rsidR="00FB7E02" w:rsidRPr="00FB7E02" w:rsidRDefault="00FB7E02" w:rsidP="005E0EF3">
      <w:pPr>
        <w:ind w:firstLine="708"/>
        <w:jc w:val="both"/>
        <w:rPr>
          <w:lang w:val="de-DE"/>
        </w:rPr>
      </w:pPr>
      <w:r w:rsidRPr="00FB7E02">
        <w:rPr>
          <w:b/>
          <w:bCs/>
          <w:lang w:val="de-DE"/>
        </w:rPr>
        <w:t>Art. 28</w:t>
      </w:r>
      <w:r w:rsidRPr="00FB7E02">
        <w:rPr>
          <w:b/>
          <w:lang w:val="de-DE"/>
        </w:rPr>
        <w:t> </w:t>
      </w:r>
      <w:r w:rsidRPr="00FB7E02">
        <w:rPr>
          <w:b/>
          <w:bCs/>
          <w:lang w:val="de-DE"/>
        </w:rPr>
        <w:t>-</w:t>
      </w:r>
      <w:r w:rsidRPr="00FB7E02">
        <w:rPr>
          <w:lang w:val="de-DE"/>
        </w:rPr>
        <w:t xml:space="preserve"> Der Königliche Erlass vom 15. Dezember 2004 über das Register in Bezug auf den Zugang zu den Spielsälen der Glücksspieleinrichtungen der Klassen I und II und der ortsfesten Glücksspieleinrichtungen der Klasse IV, abgeändert durch die Königlichen Erlasse vom 20. März 2022 und 6. September 2022, wird aufgehoben.</w:t>
      </w:r>
    </w:p>
    <w:p w14:paraId="646989DC" w14:textId="77777777" w:rsidR="00FB7E02" w:rsidRPr="00FB7E02" w:rsidRDefault="00FB7E02" w:rsidP="005E0EF3">
      <w:pPr>
        <w:jc w:val="both"/>
        <w:rPr>
          <w:lang w:val="de-DE"/>
        </w:rPr>
      </w:pPr>
    </w:p>
    <w:p w14:paraId="3FDAA2F9" w14:textId="77777777" w:rsidR="00FB7E02" w:rsidRPr="00FB7E02" w:rsidRDefault="00FB7E02" w:rsidP="005E0EF3">
      <w:pPr>
        <w:jc w:val="both"/>
        <w:rPr>
          <w:lang w:val="de-DE"/>
        </w:rPr>
      </w:pPr>
    </w:p>
    <w:p w14:paraId="41AB136F" w14:textId="77777777" w:rsidR="00FB7E02" w:rsidRPr="00FB7E02" w:rsidRDefault="00FB7E02" w:rsidP="005E0EF3">
      <w:pPr>
        <w:ind w:firstLine="708"/>
        <w:jc w:val="both"/>
        <w:rPr>
          <w:lang w:val="de-DE"/>
        </w:rPr>
      </w:pPr>
      <w:r w:rsidRPr="00FB7E02">
        <w:rPr>
          <w:b/>
          <w:bCs/>
          <w:lang w:val="de-DE"/>
        </w:rPr>
        <w:t>Art. 29</w:t>
      </w:r>
      <w:r w:rsidRPr="00FB7E02">
        <w:rPr>
          <w:b/>
          <w:lang w:val="de-DE"/>
        </w:rPr>
        <w:t> </w:t>
      </w:r>
      <w:r w:rsidRPr="00FB7E02">
        <w:rPr>
          <w:b/>
          <w:bCs/>
          <w:lang w:val="de-DE"/>
        </w:rPr>
        <w:t>-</w:t>
      </w:r>
      <w:r w:rsidRPr="00FB7E02">
        <w:rPr>
          <w:lang w:val="de-DE"/>
        </w:rPr>
        <w:t xml:space="preserve"> Die Artikel 1 bis 5, 6 Absatz 1 und 5, 7 und 8 des Königlichen Erlasses vom 15. Dezember 2004 zur Einrichtung eines Datenverarbeitungssystems in Bezug auf Spieler, denen der Zugang zu Glücksspieleinrichtungen der Klassen I und II und zu ortsfesten Glücksspieleinrichtungen der Klasse IV verweigert wird, abgeändert durch die Königlichen Erlasse vom 20. März 2022 und 6. September 2022, werden aufgehoben.</w:t>
      </w:r>
    </w:p>
    <w:p w14:paraId="5B154F28" w14:textId="77777777" w:rsidR="00FB7E02" w:rsidRPr="00FB7E02" w:rsidRDefault="00FB7E02" w:rsidP="005E0EF3">
      <w:pPr>
        <w:jc w:val="both"/>
        <w:rPr>
          <w:lang w:val="de-DE"/>
        </w:rPr>
      </w:pPr>
    </w:p>
    <w:p w14:paraId="5B8A9675" w14:textId="77777777" w:rsidR="00FB7E02" w:rsidRPr="00FB7E02" w:rsidRDefault="00FB7E02" w:rsidP="005E0EF3">
      <w:pPr>
        <w:jc w:val="both"/>
        <w:rPr>
          <w:lang w:val="de-DE"/>
        </w:rPr>
      </w:pPr>
    </w:p>
    <w:p w14:paraId="6EBAFA0A" w14:textId="77777777" w:rsidR="00FB7E02" w:rsidRPr="00FB7E02" w:rsidRDefault="00FB7E02" w:rsidP="005E0EF3">
      <w:pPr>
        <w:jc w:val="center"/>
        <w:rPr>
          <w:lang w:val="de-DE"/>
        </w:rPr>
      </w:pPr>
      <w:r w:rsidRPr="00FB7E02">
        <w:rPr>
          <w:lang w:val="de-DE"/>
        </w:rPr>
        <w:t xml:space="preserve">KAPITEL 5 - </w:t>
      </w:r>
      <w:r w:rsidRPr="00FB7E02">
        <w:rPr>
          <w:i/>
          <w:lang w:val="de-DE"/>
        </w:rPr>
        <w:t>Übergangsbestimmung</w:t>
      </w:r>
    </w:p>
    <w:p w14:paraId="16175549" w14:textId="77777777" w:rsidR="00FB7E02" w:rsidRPr="00FB7E02" w:rsidRDefault="00FB7E02" w:rsidP="005E0EF3">
      <w:pPr>
        <w:jc w:val="both"/>
        <w:rPr>
          <w:lang w:val="de-DE"/>
        </w:rPr>
      </w:pPr>
    </w:p>
    <w:p w14:paraId="182F8A8B" w14:textId="77777777" w:rsidR="00FB7E02" w:rsidRPr="00FB7E02" w:rsidRDefault="00FB7E02" w:rsidP="005E0EF3">
      <w:pPr>
        <w:jc w:val="both"/>
        <w:rPr>
          <w:lang w:val="de-DE"/>
        </w:rPr>
      </w:pPr>
    </w:p>
    <w:p w14:paraId="72E2B2BC" w14:textId="77777777" w:rsidR="00FB7E02" w:rsidRPr="00FB7E02" w:rsidRDefault="00FB7E02" w:rsidP="005E0EF3">
      <w:pPr>
        <w:ind w:firstLine="708"/>
        <w:jc w:val="both"/>
        <w:rPr>
          <w:lang w:val="de-DE"/>
        </w:rPr>
      </w:pPr>
      <w:r w:rsidRPr="00FB7E02">
        <w:rPr>
          <w:b/>
          <w:bCs/>
          <w:lang w:val="de-DE"/>
        </w:rPr>
        <w:t>Art. 30</w:t>
      </w:r>
      <w:r w:rsidRPr="00FB7E02">
        <w:rPr>
          <w:b/>
          <w:lang w:val="de-DE"/>
        </w:rPr>
        <w:t> </w:t>
      </w:r>
      <w:r w:rsidRPr="00FB7E02">
        <w:rPr>
          <w:b/>
          <w:bCs/>
          <w:lang w:val="de-DE"/>
        </w:rPr>
        <w:t>-</w:t>
      </w:r>
      <w:r w:rsidRPr="00FB7E02">
        <w:rPr>
          <w:lang w:val="de-DE"/>
        </w:rPr>
        <w:t xml:space="preserve"> Artikel 9 findet Anwendung auf jeden Antrag auf Erneuerung einer C-Lizenz, der nach Inkrafttreten des vorliegenden Gesetzes eingereicht wird.</w:t>
      </w:r>
    </w:p>
    <w:p w14:paraId="7DEFD7FF" w14:textId="77777777" w:rsidR="00FB7E02" w:rsidRPr="00FB7E02" w:rsidRDefault="00FB7E02" w:rsidP="005E0EF3">
      <w:pPr>
        <w:jc w:val="both"/>
        <w:rPr>
          <w:lang w:val="de-DE"/>
        </w:rPr>
      </w:pPr>
    </w:p>
    <w:p w14:paraId="753E3BA8" w14:textId="77777777" w:rsidR="00FB7E02" w:rsidRPr="00FB7E02" w:rsidRDefault="00FB7E02">
      <w:pPr>
        <w:rPr>
          <w:lang w:val="de-DE"/>
        </w:rPr>
      </w:pPr>
      <w:r w:rsidRPr="00FB7E02">
        <w:rPr>
          <w:lang w:val="de-DE"/>
        </w:rPr>
        <w:br w:type="page"/>
      </w:r>
    </w:p>
    <w:p w14:paraId="6F839D21" w14:textId="77777777" w:rsidR="00FB7E02" w:rsidRPr="00FB7E02" w:rsidRDefault="00FB7E02" w:rsidP="005E0EF3">
      <w:pPr>
        <w:jc w:val="center"/>
        <w:rPr>
          <w:lang w:val="de-DE"/>
        </w:rPr>
      </w:pPr>
      <w:r w:rsidRPr="00FB7E02">
        <w:rPr>
          <w:lang w:val="de-DE"/>
        </w:rPr>
        <w:lastRenderedPageBreak/>
        <w:t xml:space="preserve">KAPITEL 6 - </w:t>
      </w:r>
      <w:r w:rsidRPr="00FB7E02">
        <w:rPr>
          <w:i/>
          <w:lang w:val="de-DE"/>
        </w:rPr>
        <w:t>Inkrafttreten</w:t>
      </w:r>
    </w:p>
    <w:p w14:paraId="272FF9FE" w14:textId="77777777" w:rsidR="00FB7E02" w:rsidRPr="00FB7E02" w:rsidRDefault="00FB7E02" w:rsidP="005E0EF3">
      <w:pPr>
        <w:jc w:val="both"/>
        <w:rPr>
          <w:lang w:val="de-DE"/>
        </w:rPr>
      </w:pPr>
    </w:p>
    <w:p w14:paraId="76965A9D" w14:textId="77777777" w:rsidR="00FB7E02" w:rsidRPr="00FB7E02" w:rsidRDefault="00FB7E02" w:rsidP="005E0EF3">
      <w:pPr>
        <w:jc w:val="both"/>
        <w:rPr>
          <w:lang w:val="de-DE"/>
        </w:rPr>
      </w:pPr>
    </w:p>
    <w:p w14:paraId="011F34F9" w14:textId="77777777" w:rsidR="00FB7E02" w:rsidRPr="00FB7E02" w:rsidRDefault="00FB7E02" w:rsidP="005E0EF3">
      <w:pPr>
        <w:ind w:firstLine="708"/>
        <w:jc w:val="both"/>
        <w:rPr>
          <w:lang w:val="de-DE"/>
        </w:rPr>
      </w:pPr>
      <w:r w:rsidRPr="00FB7E02">
        <w:rPr>
          <w:b/>
          <w:bCs/>
          <w:lang w:val="de-DE"/>
        </w:rPr>
        <w:t>Art. 31 -</w:t>
      </w:r>
      <w:r w:rsidRPr="00FB7E02">
        <w:rPr>
          <w:lang w:val="de-DE"/>
        </w:rPr>
        <w:t xml:space="preserve"> Für Inhaber von A-, A+-, B-, B+- und F1+-Lizenzen und Inhaber einer F2-Lizenz, die die Entgegennahme von Wetten für Rechnung von Inhabern einer F1-Lizenz in einer ortsfesten Glücksspieleinrichtung der Klasse IV erlaubt, treten die Artikel 2, 14, 15, 16, 17, 18 und 20 am ersten Tag des zwölften Monats nach dem Datum der Veröffentlichung des vorliegenden Gesetzes im </w:t>
      </w:r>
      <w:r w:rsidRPr="00FB7E02">
        <w:rPr>
          <w:i/>
          <w:lang w:val="de-DE"/>
        </w:rPr>
        <w:t xml:space="preserve">Belgischen Staatsblatt </w:t>
      </w:r>
      <w:r w:rsidRPr="00FB7E02">
        <w:rPr>
          <w:lang w:val="de-DE"/>
        </w:rPr>
        <w:t>in Kraft.</w:t>
      </w:r>
    </w:p>
    <w:p w14:paraId="253FD25B" w14:textId="77777777" w:rsidR="00FB7E02" w:rsidRPr="00FB7E02" w:rsidRDefault="00FB7E02" w:rsidP="005E0EF3">
      <w:pPr>
        <w:jc w:val="both"/>
        <w:rPr>
          <w:lang w:val="de-DE"/>
        </w:rPr>
      </w:pPr>
    </w:p>
    <w:p w14:paraId="1C75B2BF" w14:textId="77777777" w:rsidR="00FB7E02" w:rsidRPr="00FB7E02" w:rsidRDefault="00FB7E02" w:rsidP="005E0EF3">
      <w:pPr>
        <w:ind w:firstLine="708"/>
        <w:jc w:val="both"/>
        <w:rPr>
          <w:lang w:val="de-DE"/>
        </w:rPr>
      </w:pPr>
      <w:r w:rsidRPr="00FB7E02">
        <w:rPr>
          <w:lang w:val="de-DE"/>
        </w:rPr>
        <w:t xml:space="preserve">Für Inhaber einer F2-Lizenz, die die Entgegennahme von Wetten für Rechnung von Inhabern einer F1-Lizenz in einer mobilen Glücksspieleinrichtung der Klasse IV erlaubt, sowie für Inhaber einer F2-Lizenz, die die Entgegennahme von Wetten außerhalb der Glücksspieleinrichtungen der Klasse IV erlaubt, treten die Artikel 2, 14, 15, 16, 17, 18 und 20 am ersten Tag des vierundzwanzigsten Monats nach dem Datum der Veröffentlichung des vorliegenden Gesetzes im </w:t>
      </w:r>
      <w:r w:rsidRPr="00FB7E02">
        <w:rPr>
          <w:i/>
          <w:lang w:val="de-DE"/>
        </w:rPr>
        <w:t xml:space="preserve">Belgischen Staatsblatt </w:t>
      </w:r>
      <w:r w:rsidRPr="00FB7E02">
        <w:rPr>
          <w:lang w:val="de-DE"/>
        </w:rPr>
        <w:t>in Kraft.</w:t>
      </w:r>
    </w:p>
    <w:p w14:paraId="6A570584" w14:textId="77777777" w:rsidR="00FB7E02" w:rsidRPr="00FB7E02" w:rsidRDefault="00FB7E02" w:rsidP="005E0EF3">
      <w:pPr>
        <w:jc w:val="both"/>
        <w:rPr>
          <w:lang w:val="de-DE"/>
        </w:rPr>
      </w:pPr>
    </w:p>
    <w:p w14:paraId="277B7D06" w14:textId="77777777" w:rsidR="00FB7E02" w:rsidRPr="00FB7E02" w:rsidRDefault="00FB7E02" w:rsidP="005E0EF3">
      <w:pPr>
        <w:jc w:val="both"/>
        <w:rPr>
          <w:lang w:val="de-DE"/>
        </w:rPr>
      </w:pPr>
    </w:p>
    <w:p w14:paraId="477805BA" w14:textId="77777777" w:rsidR="00FB7E02" w:rsidRPr="00FB7E02" w:rsidRDefault="00FB7E02" w:rsidP="005E0EF3">
      <w:pPr>
        <w:ind w:firstLine="708"/>
        <w:jc w:val="both"/>
        <w:rPr>
          <w:lang w:val="de-DE"/>
        </w:rPr>
      </w:pPr>
      <w:r w:rsidRPr="00FB7E02">
        <w:rPr>
          <w:b/>
          <w:bCs/>
          <w:lang w:val="de-DE"/>
        </w:rPr>
        <w:t>Art. 32</w:t>
      </w:r>
      <w:r w:rsidRPr="00FB7E02">
        <w:rPr>
          <w:b/>
          <w:lang w:val="de-DE"/>
        </w:rPr>
        <w:t> </w:t>
      </w:r>
      <w:r w:rsidRPr="00FB7E02">
        <w:rPr>
          <w:b/>
          <w:bCs/>
          <w:lang w:val="de-DE"/>
        </w:rPr>
        <w:t>-</w:t>
      </w:r>
      <w:r w:rsidRPr="00FB7E02">
        <w:rPr>
          <w:lang w:val="de-DE"/>
        </w:rPr>
        <w:t xml:space="preserve"> Die Artikel 5, 10 und 24 treten am 1. September 2024 in Kraft.</w:t>
      </w:r>
    </w:p>
    <w:p w14:paraId="62809366" w14:textId="77777777" w:rsidR="00FB7E02" w:rsidRPr="00FB7E02" w:rsidRDefault="00FB7E02" w:rsidP="005E0EF3">
      <w:pPr>
        <w:jc w:val="both"/>
        <w:rPr>
          <w:lang w:val="de-DE"/>
        </w:rPr>
      </w:pPr>
    </w:p>
    <w:p w14:paraId="79A3A04B" w14:textId="77777777" w:rsidR="00FB7E02" w:rsidRPr="00FB7E02" w:rsidRDefault="00FB7E02" w:rsidP="005E0EF3">
      <w:pPr>
        <w:jc w:val="both"/>
        <w:rPr>
          <w:lang w:val="de-DE"/>
        </w:rPr>
      </w:pPr>
    </w:p>
    <w:p w14:paraId="15496133" w14:textId="77777777" w:rsidR="00FB7E02" w:rsidRPr="00FB7E02" w:rsidRDefault="00FB7E02" w:rsidP="005E0EF3">
      <w:pPr>
        <w:ind w:firstLine="708"/>
        <w:jc w:val="both"/>
        <w:rPr>
          <w:lang w:val="de-DE"/>
        </w:rPr>
      </w:pPr>
      <w:r w:rsidRPr="00FB7E02">
        <w:rPr>
          <w:b/>
          <w:bCs/>
          <w:lang w:val="de-DE"/>
        </w:rPr>
        <w:t>Art. 33</w:t>
      </w:r>
      <w:r w:rsidRPr="00FB7E02">
        <w:rPr>
          <w:b/>
          <w:lang w:val="de-DE"/>
        </w:rPr>
        <w:t> </w:t>
      </w:r>
      <w:r w:rsidRPr="00FB7E02">
        <w:rPr>
          <w:b/>
          <w:bCs/>
          <w:lang w:val="de-DE"/>
        </w:rPr>
        <w:t>-</w:t>
      </w:r>
      <w:r w:rsidRPr="00FB7E02">
        <w:rPr>
          <w:lang w:val="de-DE"/>
        </w:rPr>
        <w:t xml:space="preserve"> Die Artikel 26, 28 und 29 treten am ersten Tag des zwölften Monats nach dem Datum der Veröffentlichung des vorliegenden Gesetzes im </w:t>
      </w:r>
      <w:r w:rsidRPr="00FB7E02">
        <w:rPr>
          <w:i/>
          <w:lang w:val="de-DE"/>
        </w:rPr>
        <w:t>Belgischen Staatsblatt</w:t>
      </w:r>
      <w:r w:rsidRPr="00FB7E02">
        <w:rPr>
          <w:lang w:val="de-DE"/>
        </w:rPr>
        <w:t xml:space="preserve"> in Kraft.</w:t>
      </w:r>
    </w:p>
    <w:p w14:paraId="3B22900F" w14:textId="77777777" w:rsidR="00FB7E02" w:rsidRPr="00FB7E02" w:rsidRDefault="00FB7E02" w:rsidP="005E0EF3">
      <w:pPr>
        <w:jc w:val="both"/>
        <w:rPr>
          <w:lang w:val="de-DE"/>
        </w:rPr>
      </w:pPr>
    </w:p>
    <w:p w14:paraId="37FD6192" w14:textId="77777777" w:rsidR="00FB7E02" w:rsidRPr="00FB7E02" w:rsidRDefault="00FB7E02" w:rsidP="005E0EF3">
      <w:pPr>
        <w:jc w:val="both"/>
        <w:rPr>
          <w:lang w:val="de-DE"/>
        </w:rPr>
      </w:pPr>
    </w:p>
    <w:p w14:paraId="0E94FAE1" w14:textId="77777777" w:rsidR="00FB7E02" w:rsidRPr="00FB7E02" w:rsidRDefault="00FB7E02" w:rsidP="005E0EF3">
      <w:pPr>
        <w:ind w:firstLine="708"/>
        <w:jc w:val="both"/>
        <w:rPr>
          <w:lang w:val="de-DE"/>
        </w:rPr>
      </w:pPr>
      <w:r w:rsidRPr="00FB7E02">
        <w:rPr>
          <w:lang w:val="de-DE"/>
        </w:rPr>
        <w:t xml:space="preserve">Wir fertigen das vorliegende Gesetz aus und ordnen an, dass es mit dem Staatssiegel versehen und durch das </w:t>
      </w:r>
      <w:r w:rsidRPr="00FB7E02">
        <w:rPr>
          <w:i/>
          <w:lang w:val="de-DE"/>
        </w:rPr>
        <w:t>Belgische Staatsblatt</w:t>
      </w:r>
      <w:r w:rsidRPr="00FB7E02">
        <w:rPr>
          <w:lang w:val="de-DE"/>
        </w:rPr>
        <w:t xml:space="preserve"> veröffentlicht wird.</w:t>
      </w:r>
    </w:p>
    <w:p w14:paraId="04693F3E" w14:textId="77777777" w:rsidR="00FB7E02" w:rsidRPr="00FB7E02" w:rsidRDefault="00FB7E02" w:rsidP="005E0EF3">
      <w:pPr>
        <w:jc w:val="both"/>
        <w:rPr>
          <w:lang w:val="de-DE"/>
        </w:rPr>
      </w:pPr>
    </w:p>
    <w:p w14:paraId="54ABD529" w14:textId="77777777" w:rsidR="00FB7E02" w:rsidRPr="00FB7E02" w:rsidRDefault="00FB7E02" w:rsidP="005E0EF3">
      <w:pPr>
        <w:jc w:val="both"/>
        <w:rPr>
          <w:lang w:val="de-DE"/>
        </w:rPr>
      </w:pPr>
    </w:p>
    <w:p w14:paraId="5F1D631B" w14:textId="77777777" w:rsidR="00FB7E02" w:rsidRPr="00FB7E02" w:rsidRDefault="00FB7E02" w:rsidP="005E0EF3">
      <w:pPr>
        <w:ind w:firstLine="708"/>
        <w:jc w:val="both"/>
        <w:rPr>
          <w:lang w:val="de-DE"/>
        </w:rPr>
      </w:pPr>
      <w:r w:rsidRPr="00FB7E02">
        <w:rPr>
          <w:lang w:val="de-DE"/>
        </w:rPr>
        <w:t>Gegeben zu Brüssel, den 7. Mai 2024</w:t>
      </w:r>
    </w:p>
    <w:p w14:paraId="056FDB27" w14:textId="77777777" w:rsidR="00FB7E02" w:rsidRPr="00FB7E02" w:rsidRDefault="00FB7E02" w:rsidP="005E0EF3">
      <w:pPr>
        <w:jc w:val="both"/>
        <w:rPr>
          <w:lang w:val="de-DE"/>
        </w:rPr>
      </w:pPr>
    </w:p>
    <w:p w14:paraId="2F372090" w14:textId="77777777" w:rsidR="00FB7E02" w:rsidRPr="00FB7E02" w:rsidRDefault="00FB7E02" w:rsidP="005E0EF3">
      <w:pPr>
        <w:jc w:val="both"/>
        <w:rPr>
          <w:lang w:val="de-DE"/>
        </w:rPr>
      </w:pPr>
    </w:p>
    <w:p w14:paraId="70E91365" w14:textId="77777777" w:rsidR="00FB7E02" w:rsidRPr="00FB7E02" w:rsidRDefault="00FB7E02" w:rsidP="005E0EF3">
      <w:pPr>
        <w:jc w:val="center"/>
        <w:rPr>
          <w:lang w:val="de-DE"/>
        </w:rPr>
      </w:pPr>
      <w:r w:rsidRPr="00FB7E02">
        <w:rPr>
          <w:lang w:val="de-DE"/>
        </w:rPr>
        <w:t>PHILIPPE</w:t>
      </w:r>
    </w:p>
    <w:p w14:paraId="3899F6CA" w14:textId="77777777" w:rsidR="00FB7E02" w:rsidRPr="00FB7E02" w:rsidRDefault="00FB7E02" w:rsidP="005E0EF3">
      <w:pPr>
        <w:jc w:val="center"/>
        <w:rPr>
          <w:lang w:val="de-DE"/>
        </w:rPr>
      </w:pPr>
    </w:p>
    <w:p w14:paraId="059D68D8" w14:textId="77777777" w:rsidR="00FB7E02" w:rsidRPr="00FB7E02" w:rsidRDefault="00FB7E02" w:rsidP="005E0EF3">
      <w:pPr>
        <w:jc w:val="center"/>
        <w:rPr>
          <w:lang w:val="de-DE"/>
        </w:rPr>
      </w:pPr>
      <w:r w:rsidRPr="00FB7E02">
        <w:rPr>
          <w:lang w:val="de-DE"/>
        </w:rPr>
        <w:t>Von Königs wegen:</w:t>
      </w:r>
    </w:p>
    <w:p w14:paraId="02CBE88F" w14:textId="77777777" w:rsidR="00FB7E02" w:rsidRPr="00FB7E02" w:rsidRDefault="00FB7E02" w:rsidP="005E0EF3">
      <w:pPr>
        <w:jc w:val="center"/>
        <w:rPr>
          <w:lang w:val="de-DE"/>
        </w:rPr>
      </w:pPr>
    </w:p>
    <w:p w14:paraId="63A5715E" w14:textId="77777777" w:rsidR="00FB7E02" w:rsidRPr="00FB7E02" w:rsidRDefault="00FB7E02" w:rsidP="005E0EF3">
      <w:pPr>
        <w:jc w:val="center"/>
        <w:rPr>
          <w:lang w:val="de-DE"/>
        </w:rPr>
      </w:pPr>
      <w:r w:rsidRPr="00FB7E02">
        <w:rPr>
          <w:lang w:val="de-DE"/>
        </w:rPr>
        <w:t>Der Minister der Justiz</w:t>
      </w:r>
    </w:p>
    <w:p w14:paraId="5CFAFE90" w14:textId="77777777" w:rsidR="00FB7E02" w:rsidRPr="00FB7E02" w:rsidRDefault="00FB7E02" w:rsidP="005E0EF3">
      <w:pPr>
        <w:jc w:val="center"/>
        <w:rPr>
          <w:lang w:val="de-DE"/>
        </w:rPr>
      </w:pPr>
      <w:r w:rsidRPr="00FB7E02">
        <w:rPr>
          <w:lang w:val="de-DE"/>
        </w:rPr>
        <w:t>P. VAN TIGCHELT</w:t>
      </w:r>
    </w:p>
    <w:p w14:paraId="2404BBDF" w14:textId="77777777" w:rsidR="00FB7E02" w:rsidRPr="00FB7E02" w:rsidRDefault="00FB7E02" w:rsidP="005E0EF3">
      <w:pPr>
        <w:jc w:val="center"/>
        <w:rPr>
          <w:lang w:val="de-DE"/>
        </w:rPr>
      </w:pPr>
    </w:p>
    <w:p w14:paraId="64A82084" w14:textId="77777777" w:rsidR="00FB7E02" w:rsidRPr="00FB7E02" w:rsidRDefault="00FB7E02" w:rsidP="005E0EF3">
      <w:pPr>
        <w:jc w:val="center"/>
        <w:rPr>
          <w:lang w:val="de-DE"/>
        </w:rPr>
      </w:pPr>
      <w:r w:rsidRPr="00FB7E02">
        <w:rPr>
          <w:lang w:val="de-DE"/>
        </w:rPr>
        <w:t>Mit dem Staatssiegel versehen:</w:t>
      </w:r>
    </w:p>
    <w:p w14:paraId="20F4653C" w14:textId="77777777" w:rsidR="00FB7E02" w:rsidRPr="00FB7E02" w:rsidRDefault="00FB7E02" w:rsidP="005E0EF3">
      <w:pPr>
        <w:jc w:val="center"/>
        <w:rPr>
          <w:lang w:val="de-DE"/>
        </w:rPr>
      </w:pPr>
    </w:p>
    <w:p w14:paraId="5ADC7D3F" w14:textId="77777777" w:rsidR="00FB7E02" w:rsidRPr="00FB7E02" w:rsidRDefault="00FB7E02" w:rsidP="005E0EF3">
      <w:pPr>
        <w:jc w:val="center"/>
        <w:rPr>
          <w:lang w:val="de-DE"/>
        </w:rPr>
      </w:pPr>
      <w:r w:rsidRPr="00FB7E02">
        <w:rPr>
          <w:lang w:val="de-DE"/>
        </w:rPr>
        <w:t>Der Minister der Justiz</w:t>
      </w:r>
    </w:p>
    <w:p w14:paraId="57BDBA8B" w14:textId="77777777" w:rsidR="00FB7E02" w:rsidRPr="00FB7E02" w:rsidRDefault="00FB7E02" w:rsidP="005E0EF3">
      <w:pPr>
        <w:jc w:val="center"/>
        <w:rPr>
          <w:lang w:val="de-DE"/>
        </w:rPr>
      </w:pPr>
      <w:r w:rsidRPr="00FB7E02">
        <w:rPr>
          <w:lang w:val="de-DE"/>
        </w:rPr>
        <w:t>P. VAN TIGCHELT</w:t>
      </w:r>
    </w:p>
    <w:p w14:paraId="13D8C0F5" w14:textId="77777777" w:rsidR="00233F36" w:rsidRPr="00C80000" w:rsidRDefault="00233F36" w:rsidP="00E1687C">
      <w:pPr>
        <w:jc w:val="both"/>
        <w:rPr>
          <w:lang w:val="de-DE"/>
        </w:rPr>
      </w:pPr>
    </w:p>
    <w:sectPr w:rsidR="00233F36" w:rsidRPr="00C80000" w:rsidSect="00FB7E02">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D740F00"/>
    <w:lvl w:ilvl="0">
      <w:numFmt w:val="bullet"/>
      <w:lvlText w:val="*"/>
      <w:lvlJc w:val="left"/>
    </w:lvl>
  </w:abstractNum>
  <w:num w:numId="1" w16cid:durableId="348794906">
    <w:abstractNumId w:val="0"/>
    <w:lvlOverride w:ilvl="0">
      <w:lvl w:ilvl="0">
        <w:numFmt w:val="bullet"/>
        <w:lvlText w:val="G"/>
        <w:legacy w:legacy="1" w:legacySpace="0" w:legacyIndent="340"/>
        <w:lvlJc w:val="left"/>
        <w:pPr>
          <w:ind w:left="340" w:hanging="340"/>
        </w:pPr>
        <w:rPr>
          <w:rFonts w:ascii="WP TypographicSymbols" w:hAnsi="WP TypographicSymbol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1139F"/>
    <w:rsid w:val="00053927"/>
    <w:rsid w:val="0008442B"/>
    <w:rsid w:val="0008689C"/>
    <w:rsid w:val="000A562A"/>
    <w:rsid w:val="000F40A2"/>
    <w:rsid w:val="000F5F44"/>
    <w:rsid w:val="00127CA8"/>
    <w:rsid w:val="001D5744"/>
    <w:rsid w:val="00217221"/>
    <w:rsid w:val="00233F36"/>
    <w:rsid w:val="00266D2A"/>
    <w:rsid w:val="002A1F4E"/>
    <w:rsid w:val="003024C1"/>
    <w:rsid w:val="00330774"/>
    <w:rsid w:val="00360901"/>
    <w:rsid w:val="003725C6"/>
    <w:rsid w:val="00385261"/>
    <w:rsid w:val="004F0197"/>
    <w:rsid w:val="0051470C"/>
    <w:rsid w:val="005D55BA"/>
    <w:rsid w:val="006F4381"/>
    <w:rsid w:val="00786C4F"/>
    <w:rsid w:val="007A515C"/>
    <w:rsid w:val="007D5F55"/>
    <w:rsid w:val="00800E1A"/>
    <w:rsid w:val="008C2124"/>
    <w:rsid w:val="00AA413E"/>
    <w:rsid w:val="00AB18C3"/>
    <w:rsid w:val="00B27BE9"/>
    <w:rsid w:val="00B56114"/>
    <w:rsid w:val="00C43D43"/>
    <w:rsid w:val="00C80000"/>
    <w:rsid w:val="00CA081B"/>
    <w:rsid w:val="00DC56FB"/>
    <w:rsid w:val="00DD5F2F"/>
    <w:rsid w:val="00DD7277"/>
    <w:rsid w:val="00E1687C"/>
    <w:rsid w:val="00EA58E6"/>
    <w:rsid w:val="00F2168C"/>
    <w:rsid w:val="00F24CD9"/>
    <w:rsid w:val="00F41731"/>
    <w:rsid w:val="00F80FD4"/>
    <w:rsid w:val="00FB5B96"/>
    <w:rsid w:val="00FB7E02"/>
    <w:rsid w:val="00FD5D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03F4B9"/>
  <w15:docId w15:val="{652DF5F1-213C-40A5-9046-FDFF9B1D4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BE" w:eastAsia="fr-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D43"/>
    <w:rPr>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evel1">
    <w:name w:val="Level 1"/>
    <w:basedOn w:val="Normal"/>
    <w:uiPriority w:val="99"/>
    <w:rsid w:val="00217221"/>
    <w:pPr>
      <w:widowControl w:val="0"/>
      <w:autoSpaceDE w:val="0"/>
      <w:autoSpaceDN w:val="0"/>
      <w:adjustRightInd w:val="0"/>
      <w:ind w:left="340" w:hanging="340"/>
    </w:pPr>
    <w:rPr>
      <w:rFonts w:ascii="Courier" w:hAnsi="Courie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4592</Words>
  <Characters>25260</Characters>
  <Application>Microsoft Office Word</Application>
  <DocSecurity>0</DocSecurity>
  <Lines>210</Lines>
  <Paragraphs>59</Paragraphs>
  <ScaleCrop>false</ScaleCrop>
  <Company/>
  <LinksUpToDate>false</LinksUpToDate>
  <CharactersWithSpaces>29793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Françoise Siquet</cp:lastModifiedBy>
  <cp:revision>3</cp:revision>
  <dcterms:created xsi:type="dcterms:W3CDTF">2026-03-02T15:23:00Z</dcterms:created>
  <dcterms:modified xsi:type="dcterms:W3CDTF">2026-03-02T15:25:00Z</dcterms:modified>
</cp:coreProperties>
</file>