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50A7" w14:textId="77777777" w:rsidR="00092020" w:rsidRPr="00092020" w:rsidRDefault="00092020" w:rsidP="00092020">
      <w:pPr>
        <w:jc w:val="center"/>
        <w:rPr>
          <w:b/>
          <w:bCs/>
          <w:lang w:val="de-DE"/>
        </w:rPr>
      </w:pPr>
      <w:r w:rsidRPr="00092020">
        <w:rPr>
          <w:b/>
          <w:lang w:val="de-DE"/>
        </w:rPr>
        <w:t>14. APRIL 2024 - Königlicher Erlass zur Abänderung des Königlichen Erlasses vom 21. April 2007 über die Atemtestgeräte und die Atemanalysegeräte</w:t>
      </w:r>
    </w:p>
    <w:p w14:paraId="30916C2A" w14:textId="77777777" w:rsidR="00233F36" w:rsidRPr="00092020" w:rsidRDefault="00233F36" w:rsidP="00127CA8">
      <w:pPr>
        <w:jc w:val="both"/>
        <w:rPr>
          <w:lang w:val="de-DE"/>
        </w:rPr>
      </w:pPr>
    </w:p>
    <w:p w14:paraId="55EF60A5" w14:textId="77777777" w:rsidR="00233F36" w:rsidRPr="00092020" w:rsidRDefault="00233F36">
      <w:pPr>
        <w:rPr>
          <w:lang w:val="de-DE"/>
        </w:rPr>
      </w:pPr>
    </w:p>
    <w:p w14:paraId="5B5B8E87" w14:textId="57784CA8" w:rsidR="00233F36" w:rsidRPr="00092020" w:rsidRDefault="00233F36" w:rsidP="000F5F44">
      <w:pPr>
        <w:jc w:val="center"/>
        <w:rPr>
          <w:i/>
          <w:lang w:val="de-DE"/>
        </w:rPr>
      </w:pPr>
      <w:r w:rsidRPr="00092020">
        <w:rPr>
          <w:lang w:val="de-DE"/>
        </w:rPr>
        <w:t>(</w:t>
      </w:r>
      <w:r w:rsidRPr="00092020">
        <w:rPr>
          <w:i/>
          <w:lang w:val="de-DE"/>
        </w:rPr>
        <w:t xml:space="preserve">Belgisches Staatsblatt </w:t>
      </w:r>
      <w:r w:rsidRPr="00092020">
        <w:rPr>
          <w:lang w:val="de-DE"/>
        </w:rPr>
        <w:t xml:space="preserve">vom </w:t>
      </w:r>
      <w:r w:rsidR="00092020" w:rsidRPr="00092020">
        <w:rPr>
          <w:lang w:val="de-DE"/>
        </w:rPr>
        <w:t>23. Mai 2025</w:t>
      </w:r>
      <w:r w:rsidRPr="00092020">
        <w:rPr>
          <w:lang w:val="de-DE"/>
        </w:rPr>
        <w:t>)</w:t>
      </w:r>
    </w:p>
    <w:p w14:paraId="6277C328" w14:textId="77777777" w:rsidR="00233F36" w:rsidRPr="00092020" w:rsidRDefault="00233F36" w:rsidP="000F5F44">
      <w:pPr>
        <w:jc w:val="center"/>
        <w:rPr>
          <w:lang w:val="de-DE"/>
        </w:rPr>
      </w:pPr>
    </w:p>
    <w:p w14:paraId="2786C7E0" w14:textId="77777777" w:rsidR="00233F36" w:rsidRPr="00092020" w:rsidRDefault="00233F36" w:rsidP="00CA081B">
      <w:pPr>
        <w:jc w:val="center"/>
        <w:rPr>
          <w:lang w:val="de-DE"/>
        </w:rPr>
      </w:pPr>
    </w:p>
    <w:p w14:paraId="78AE96E4" w14:textId="77777777" w:rsidR="00233F36" w:rsidRPr="00092020" w:rsidRDefault="00233F36" w:rsidP="00CA081B">
      <w:pPr>
        <w:jc w:val="both"/>
        <w:rPr>
          <w:lang w:val="de-DE"/>
        </w:rPr>
      </w:pPr>
      <w:r w:rsidRPr="00092020">
        <w:rPr>
          <w:lang w:val="de-DE"/>
        </w:rPr>
        <w:t>Diese deutsche Übersetzung ist von der Zentralen Dienststelle für Deutsche Übersetzungen in Malmedy erstellt worden.</w:t>
      </w:r>
    </w:p>
    <w:p w14:paraId="5CDFA3B6" w14:textId="77777777" w:rsidR="00E1687C" w:rsidRPr="00092020" w:rsidRDefault="00E1687C" w:rsidP="00CA081B">
      <w:pPr>
        <w:jc w:val="both"/>
        <w:rPr>
          <w:lang w:val="de-DE"/>
        </w:rPr>
      </w:pPr>
    </w:p>
    <w:p w14:paraId="0A9852C4" w14:textId="77777777" w:rsidR="00E1687C" w:rsidRPr="00092020" w:rsidRDefault="00E1687C" w:rsidP="00CA081B">
      <w:pPr>
        <w:jc w:val="both"/>
        <w:rPr>
          <w:lang w:val="de-DE"/>
        </w:rPr>
      </w:pPr>
    </w:p>
    <w:p w14:paraId="10ABCDEC" w14:textId="77777777" w:rsidR="00233F36" w:rsidRPr="00092020" w:rsidRDefault="00233F36" w:rsidP="006F4381">
      <w:pPr>
        <w:jc w:val="both"/>
        <w:rPr>
          <w:lang w:val="de-DE"/>
        </w:rPr>
        <w:sectPr w:rsidR="00233F36" w:rsidRPr="00092020" w:rsidSect="0051470C">
          <w:pgSz w:w="11906" w:h="16838" w:code="9"/>
          <w:pgMar w:top="1418" w:right="1418" w:bottom="1418" w:left="1418" w:header="709" w:footer="709" w:gutter="0"/>
          <w:cols w:space="708"/>
          <w:vAlign w:val="center"/>
          <w:docGrid w:linePitch="360"/>
        </w:sectPr>
      </w:pPr>
    </w:p>
    <w:p w14:paraId="415C1D52" w14:textId="77777777" w:rsidR="00092020" w:rsidRPr="00092020" w:rsidRDefault="00092020" w:rsidP="003F3EB6">
      <w:pPr>
        <w:jc w:val="center"/>
        <w:rPr>
          <w:b/>
          <w:bCs/>
          <w:lang w:val="de-DE"/>
        </w:rPr>
      </w:pPr>
      <w:r w:rsidRPr="00092020">
        <w:rPr>
          <w:b/>
          <w:lang w:val="de-DE"/>
        </w:rPr>
        <w:lastRenderedPageBreak/>
        <w:t>FÖDERALER ÖFFENTLICHER DIENST MOBILITÄT UND TRANSPORTWESEN</w:t>
      </w:r>
    </w:p>
    <w:p w14:paraId="05DD97E0" w14:textId="77777777" w:rsidR="00092020" w:rsidRPr="00092020" w:rsidRDefault="00092020" w:rsidP="00303EDA">
      <w:pPr>
        <w:jc w:val="both"/>
        <w:rPr>
          <w:sz w:val="22"/>
          <w:szCs w:val="22"/>
          <w:lang w:val="de-DE"/>
        </w:rPr>
      </w:pPr>
    </w:p>
    <w:p w14:paraId="211831FC" w14:textId="77777777" w:rsidR="00092020" w:rsidRPr="00092020" w:rsidRDefault="00092020" w:rsidP="00303EDA">
      <w:pPr>
        <w:jc w:val="both"/>
        <w:rPr>
          <w:sz w:val="22"/>
          <w:szCs w:val="22"/>
          <w:lang w:val="de-DE"/>
        </w:rPr>
      </w:pPr>
    </w:p>
    <w:p w14:paraId="38426092" w14:textId="77777777" w:rsidR="00092020" w:rsidRPr="00092020" w:rsidRDefault="00092020" w:rsidP="003F3EB6">
      <w:pPr>
        <w:jc w:val="center"/>
        <w:rPr>
          <w:b/>
          <w:bCs/>
          <w:lang w:val="de-DE"/>
        </w:rPr>
      </w:pPr>
      <w:r w:rsidRPr="00092020">
        <w:rPr>
          <w:b/>
          <w:lang w:val="de-DE"/>
        </w:rPr>
        <w:t>14. APRIL 2024 - Königlicher Erlass zur Abänderung des Königlichen Erlasses vom 21. April 2007 über die Atemtestgeräte und die Atemanalysegeräte</w:t>
      </w:r>
    </w:p>
    <w:p w14:paraId="657F9A94" w14:textId="77777777" w:rsidR="00092020" w:rsidRPr="00092020" w:rsidRDefault="00092020" w:rsidP="003F3EB6">
      <w:pPr>
        <w:jc w:val="both"/>
        <w:rPr>
          <w:sz w:val="22"/>
          <w:szCs w:val="22"/>
          <w:lang w:val="de-DE"/>
        </w:rPr>
      </w:pPr>
    </w:p>
    <w:p w14:paraId="6B59FBED" w14:textId="77777777" w:rsidR="00092020" w:rsidRPr="00092020" w:rsidRDefault="00092020" w:rsidP="003F3EB6">
      <w:pPr>
        <w:jc w:val="both"/>
        <w:rPr>
          <w:sz w:val="22"/>
          <w:szCs w:val="22"/>
          <w:lang w:val="de-DE"/>
        </w:rPr>
      </w:pPr>
    </w:p>
    <w:p w14:paraId="76229CF8" w14:textId="77777777" w:rsidR="00092020" w:rsidRPr="00092020" w:rsidRDefault="00092020" w:rsidP="003F3EB6">
      <w:pPr>
        <w:jc w:val="both"/>
        <w:rPr>
          <w:lang w:val="de-DE"/>
        </w:rPr>
      </w:pPr>
      <w:r w:rsidRPr="00092020">
        <w:rPr>
          <w:lang w:val="de-DE"/>
        </w:rPr>
        <w:tab/>
      </w:r>
      <w:r w:rsidRPr="00092020">
        <w:rPr>
          <w:lang w:val="de-DE"/>
        </w:rPr>
        <w:tab/>
      </w:r>
      <w:r w:rsidRPr="00092020">
        <w:rPr>
          <w:lang w:val="de-DE"/>
        </w:rPr>
        <w:tab/>
        <w:t>PHILIPPE, König der Belgier,</w:t>
      </w:r>
    </w:p>
    <w:p w14:paraId="28ECC943" w14:textId="77777777" w:rsidR="00092020" w:rsidRPr="00092020" w:rsidRDefault="00092020" w:rsidP="003F3EB6">
      <w:pPr>
        <w:jc w:val="both"/>
        <w:rPr>
          <w:sz w:val="22"/>
          <w:szCs w:val="22"/>
          <w:lang w:val="de-DE"/>
        </w:rPr>
      </w:pPr>
    </w:p>
    <w:p w14:paraId="1EF1C9DC" w14:textId="77777777" w:rsidR="00092020" w:rsidRPr="00092020" w:rsidRDefault="00092020" w:rsidP="003F3EB6">
      <w:pPr>
        <w:jc w:val="both"/>
        <w:rPr>
          <w:lang w:val="de-DE"/>
        </w:rPr>
      </w:pPr>
      <w:r w:rsidRPr="00092020">
        <w:rPr>
          <w:lang w:val="de-DE"/>
        </w:rPr>
        <w:tab/>
      </w:r>
      <w:r w:rsidRPr="00092020">
        <w:rPr>
          <w:lang w:val="de-DE"/>
        </w:rPr>
        <w:tab/>
        <w:t>Allen Gegenwärtigen und Zukünftigen, Unser Gruß!</w:t>
      </w:r>
    </w:p>
    <w:p w14:paraId="3CD9D171" w14:textId="77777777" w:rsidR="00092020" w:rsidRPr="00092020" w:rsidRDefault="00092020" w:rsidP="003F3EB6">
      <w:pPr>
        <w:jc w:val="both"/>
        <w:rPr>
          <w:sz w:val="22"/>
          <w:szCs w:val="22"/>
          <w:lang w:val="de-DE"/>
        </w:rPr>
      </w:pPr>
    </w:p>
    <w:p w14:paraId="0B44B1B3" w14:textId="77777777" w:rsidR="00092020" w:rsidRPr="00092020" w:rsidRDefault="00092020" w:rsidP="003F3EB6">
      <w:pPr>
        <w:jc w:val="both"/>
        <w:rPr>
          <w:sz w:val="22"/>
          <w:szCs w:val="22"/>
          <w:lang w:val="de-DE"/>
        </w:rPr>
      </w:pPr>
    </w:p>
    <w:p w14:paraId="6561C4BE" w14:textId="77777777" w:rsidR="00092020" w:rsidRPr="00092020" w:rsidRDefault="00092020" w:rsidP="003F3EB6">
      <w:pPr>
        <w:jc w:val="both"/>
        <w:rPr>
          <w:lang w:val="de-DE"/>
        </w:rPr>
      </w:pPr>
      <w:r w:rsidRPr="00092020">
        <w:rPr>
          <w:lang w:val="de-DE"/>
        </w:rPr>
        <w:tab/>
        <w:t>Aufgrund des am 16. März 1968 koordinierten Gesetzes über die Straßenverkehrspoli</w:t>
      </w:r>
      <w:r w:rsidRPr="00092020">
        <w:rPr>
          <w:lang w:val="de-DE"/>
        </w:rPr>
        <w:softHyphen/>
        <w:t>zei, insbesondere des Artikels 59 § 4, abgeändert durch das Gesetz vom 18. Juli 1990;</w:t>
      </w:r>
    </w:p>
    <w:p w14:paraId="72C58702" w14:textId="77777777" w:rsidR="00092020" w:rsidRPr="00092020" w:rsidRDefault="00092020" w:rsidP="003F3EB6">
      <w:pPr>
        <w:jc w:val="both"/>
        <w:rPr>
          <w:sz w:val="22"/>
          <w:szCs w:val="22"/>
          <w:lang w:val="de-DE"/>
        </w:rPr>
      </w:pPr>
    </w:p>
    <w:p w14:paraId="1ED95DB3" w14:textId="77777777" w:rsidR="00092020" w:rsidRPr="00092020" w:rsidRDefault="00092020" w:rsidP="003F3EB6">
      <w:pPr>
        <w:jc w:val="both"/>
        <w:rPr>
          <w:lang w:val="de-DE"/>
        </w:rPr>
      </w:pPr>
      <w:r w:rsidRPr="00092020">
        <w:rPr>
          <w:lang w:val="de-DE"/>
        </w:rPr>
        <w:tab/>
        <w:t>Aufgrund des Gesetzes vom 28. Februar 2013 zur Einführung des Wirtschaftsgesetzbu</w:t>
      </w:r>
      <w:r w:rsidRPr="00092020">
        <w:rPr>
          <w:lang w:val="de-DE"/>
        </w:rPr>
        <w:softHyphen/>
        <w:t>ches, des Artikels 8;</w:t>
      </w:r>
    </w:p>
    <w:p w14:paraId="13EC6D2D" w14:textId="77777777" w:rsidR="00092020" w:rsidRPr="00092020" w:rsidRDefault="00092020" w:rsidP="003F3EB6">
      <w:pPr>
        <w:jc w:val="both"/>
        <w:rPr>
          <w:sz w:val="22"/>
          <w:szCs w:val="22"/>
          <w:lang w:val="de-DE"/>
        </w:rPr>
      </w:pPr>
    </w:p>
    <w:p w14:paraId="70252652" w14:textId="77777777" w:rsidR="00092020" w:rsidRPr="00092020" w:rsidRDefault="00092020" w:rsidP="003F3EB6">
      <w:pPr>
        <w:jc w:val="both"/>
        <w:rPr>
          <w:lang w:val="de-DE"/>
        </w:rPr>
      </w:pPr>
      <w:r w:rsidRPr="00092020">
        <w:rPr>
          <w:lang w:val="de-DE"/>
        </w:rPr>
        <w:tab/>
        <w:t>Aufgrund des Königlichen Erlasses vom 21. April 2007 über die Atemtestgeräte und die Atemanalysegeräte;</w:t>
      </w:r>
    </w:p>
    <w:p w14:paraId="5C3C02DC" w14:textId="77777777" w:rsidR="00092020" w:rsidRPr="00092020" w:rsidRDefault="00092020" w:rsidP="003F3EB6">
      <w:pPr>
        <w:jc w:val="both"/>
        <w:rPr>
          <w:sz w:val="22"/>
          <w:szCs w:val="22"/>
          <w:lang w:val="de-DE"/>
        </w:rPr>
      </w:pPr>
    </w:p>
    <w:p w14:paraId="0546A17E" w14:textId="77777777" w:rsidR="00092020" w:rsidRPr="00092020" w:rsidRDefault="00092020" w:rsidP="003F3EB6">
      <w:pPr>
        <w:jc w:val="both"/>
        <w:rPr>
          <w:lang w:val="de-DE"/>
        </w:rPr>
      </w:pPr>
      <w:r w:rsidRPr="00092020">
        <w:rPr>
          <w:lang w:val="de-DE"/>
        </w:rPr>
        <w:tab/>
        <w:t>Aufgrund der Mitteilung an die Europäische Kommission vom 17. November 2023 in Anwendung von Artikel 5 Absatz 1 der Richtlinie (EU) 2015/1535 des Europäischen Parla</w:t>
      </w:r>
      <w:r w:rsidRPr="00092020">
        <w:rPr>
          <w:lang w:val="de-DE"/>
        </w:rPr>
        <w:softHyphen/>
        <w:t>ments und des Rates vom 9. September 2015 über ein Informationsverfahren auf dem Gebiet der technischen Vorschriften und der Vorschriften für die Dienste der Informationsgesellschaft;</w:t>
      </w:r>
    </w:p>
    <w:p w14:paraId="01AE2403" w14:textId="77777777" w:rsidR="00092020" w:rsidRPr="00092020" w:rsidRDefault="00092020" w:rsidP="003F3EB6">
      <w:pPr>
        <w:jc w:val="both"/>
        <w:rPr>
          <w:sz w:val="22"/>
          <w:szCs w:val="22"/>
          <w:lang w:val="de-DE"/>
        </w:rPr>
      </w:pPr>
    </w:p>
    <w:p w14:paraId="10A83446" w14:textId="77777777" w:rsidR="00092020" w:rsidRPr="00092020" w:rsidRDefault="00092020" w:rsidP="003F3EB6">
      <w:pPr>
        <w:jc w:val="both"/>
        <w:rPr>
          <w:lang w:val="de-DE"/>
        </w:rPr>
      </w:pPr>
      <w:r w:rsidRPr="00092020">
        <w:rPr>
          <w:lang w:val="de-DE"/>
        </w:rPr>
        <w:tab/>
        <w:t>Aufgrund der Beteiligung der Regionalregierungen;</w:t>
      </w:r>
    </w:p>
    <w:p w14:paraId="1FEA2937" w14:textId="77777777" w:rsidR="00092020" w:rsidRPr="00092020" w:rsidRDefault="00092020" w:rsidP="003F3EB6">
      <w:pPr>
        <w:jc w:val="both"/>
        <w:rPr>
          <w:sz w:val="22"/>
          <w:szCs w:val="22"/>
          <w:lang w:val="de-DE"/>
        </w:rPr>
      </w:pPr>
    </w:p>
    <w:p w14:paraId="753BEDE8" w14:textId="77777777" w:rsidR="00092020" w:rsidRPr="00092020" w:rsidRDefault="00092020" w:rsidP="003F3EB6">
      <w:pPr>
        <w:jc w:val="both"/>
        <w:rPr>
          <w:lang w:val="de-DE"/>
        </w:rPr>
      </w:pPr>
      <w:r w:rsidRPr="00092020">
        <w:rPr>
          <w:lang w:val="de-DE"/>
        </w:rPr>
        <w:tab/>
        <w:t>Aufgrund der Stellungnahmen der Finanzinspektoren vom 9. Januar 2023, 31. März 2023 und 18. April 2023;</w:t>
      </w:r>
    </w:p>
    <w:p w14:paraId="1722CFB3" w14:textId="77777777" w:rsidR="00092020" w:rsidRPr="00092020" w:rsidRDefault="00092020" w:rsidP="003F3EB6">
      <w:pPr>
        <w:jc w:val="both"/>
        <w:rPr>
          <w:sz w:val="22"/>
          <w:szCs w:val="22"/>
          <w:lang w:val="de-DE"/>
        </w:rPr>
      </w:pPr>
    </w:p>
    <w:p w14:paraId="2D86C797" w14:textId="77777777" w:rsidR="00092020" w:rsidRPr="00092020" w:rsidRDefault="00092020" w:rsidP="003F3EB6">
      <w:pPr>
        <w:jc w:val="both"/>
        <w:rPr>
          <w:lang w:val="de-DE"/>
        </w:rPr>
      </w:pPr>
      <w:r w:rsidRPr="00092020">
        <w:rPr>
          <w:lang w:val="de-DE"/>
        </w:rPr>
        <w:tab/>
        <w:t>Aufgrund des Einverständnisses der Staatssekretärin für Haushalt vom 12. Septem</w:t>
      </w:r>
      <w:r w:rsidRPr="00092020">
        <w:rPr>
          <w:lang w:val="de-DE"/>
        </w:rPr>
        <w:softHyphen/>
        <w:t>ber 2023;</w:t>
      </w:r>
    </w:p>
    <w:p w14:paraId="26A3C339" w14:textId="77777777" w:rsidR="00092020" w:rsidRPr="00092020" w:rsidRDefault="00092020" w:rsidP="003F3EB6">
      <w:pPr>
        <w:jc w:val="both"/>
        <w:rPr>
          <w:sz w:val="22"/>
          <w:szCs w:val="22"/>
          <w:lang w:val="de-DE"/>
        </w:rPr>
      </w:pPr>
    </w:p>
    <w:p w14:paraId="7385339A" w14:textId="77777777" w:rsidR="00092020" w:rsidRPr="00092020" w:rsidRDefault="00092020" w:rsidP="003F3EB6">
      <w:pPr>
        <w:jc w:val="both"/>
        <w:rPr>
          <w:lang w:val="de-DE"/>
        </w:rPr>
      </w:pPr>
      <w:r w:rsidRPr="00092020">
        <w:rPr>
          <w:lang w:val="de-DE"/>
        </w:rPr>
        <w:tab/>
        <w:t>Aufgrund des Antrags auf Begutachtung binnen einer Frist von dreißig Tagen, der am 4. Dezember 2023 beim Staatsrat eingereicht worden ist, in Anwendung von Artikel 84 § 1 Ab</w:t>
      </w:r>
      <w:r w:rsidRPr="00092020">
        <w:rPr>
          <w:lang w:val="de-DE"/>
        </w:rPr>
        <w:softHyphen/>
        <w:t>satz 1 Nr. 2 der am 12. Januar 1973 koordinierten Gesetze über den Staatsrat;</w:t>
      </w:r>
    </w:p>
    <w:p w14:paraId="5819893D" w14:textId="77777777" w:rsidR="00092020" w:rsidRPr="00092020" w:rsidRDefault="00092020" w:rsidP="003F3EB6">
      <w:pPr>
        <w:jc w:val="both"/>
        <w:rPr>
          <w:sz w:val="22"/>
          <w:szCs w:val="22"/>
          <w:lang w:val="de-DE"/>
        </w:rPr>
      </w:pPr>
    </w:p>
    <w:p w14:paraId="66B2D162" w14:textId="77777777" w:rsidR="00092020" w:rsidRPr="00092020" w:rsidRDefault="00092020" w:rsidP="003F3EB6">
      <w:pPr>
        <w:jc w:val="both"/>
        <w:rPr>
          <w:lang w:val="de-DE"/>
        </w:rPr>
      </w:pPr>
      <w:r w:rsidRPr="00092020">
        <w:rPr>
          <w:lang w:val="de-DE"/>
        </w:rPr>
        <w:tab/>
        <w:t>Aufgrund des Beschlusses 75.015/4 des Staatsrats vom 4. Dezember 2023 in Anwen</w:t>
      </w:r>
      <w:r w:rsidRPr="00092020">
        <w:rPr>
          <w:lang w:val="de-DE"/>
        </w:rPr>
        <w:softHyphen/>
        <w:t>dung von Artikel 84 § 5 der am 12. Januar 1973 koordinierten Gesetze über den Staatsrat;</w:t>
      </w:r>
    </w:p>
    <w:p w14:paraId="75178FD7" w14:textId="77777777" w:rsidR="00092020" w:rsidRPr="00092020" w:rsidRDefault="00092020" w:rsidP="003F3EB6">
      <w:pPr>
        <w:jc w:val="both"/>
        <w:rPr>
          <w:sz w:val="22"/>
          <w:szCs w:val="22"/>
          <w:lang w:val="de-DE"/>
        </w:rPr>
      </w:pPr>
    </w:p>
    <w:p w14:paraId="23F612E2" w14:textId="77777777" w:rsidR="00092020" w:rsidRPr="00092020" w:rsidRDefault="00092020" w:rsidP="003F3EB6">
      <w:pPr>
        <w:jc w:val="both"/>
        <w:rPr>
          <w:lang w:val="de-DE"/>
        </w:rPr>
      </w:pPr>
      <w:r w:rsidRPr="00092020">
        <w:rPr>
          <w:lang w:val="de-DE"/>
        </w:rPr>
        <w:tab/>
        <w:t>Auf Vorschlag des Ministers der Wirtschaft, des Ministers der Mobilität und des Minis</w:t>
      </w:r>
      <w:r w:rsidRPr="00092020">
        <w:rPr>
          <w:lang w:val="de-DE"/>
        </w:rPr>
        <w:softHyphen/>
        <w:t>ters der Justiz</w:t>
      </w:r>
    </w:p>
    <w:p w14:paraId="323F319B" w14:textId="77777777" w:rsidR="00092020" w:rsidRPr="00092020" w:rsidRDefault="00092020" w:rsidP="003F3EB6">
      <w:pPr>
        <w:jc w:val="both"/>
        <w:rPr>
          <w:sz w:val="22"/>
          <w:szCs w:val="22"/>
          <w:lang w:val="de-DE"/>
        </w:rPr>
      </w:pPr>
    </w:p>
    <w:p w14:paraId="3D5EE86B" w14:textId="77777777" w:rsidR="00092020" w:rsidRPr="00092020" w:rsidRDefault="00092020" w:rsidP="003F3EB6">
      <w:pPr>
        <w:jc w:val="both"/>
        <w:rPr>
          <w:sz w:val="22"/>
          <w:szCs w:val="22"/>
          <w:lang w:val="de-DE"/>
        </w:rPr>
      </w:pPr>
    </w:p>
    <w:p w14:paraId="7D0713EE" w14:textId="77777777" w:rsidR="00092020" w:rsidRPr="00092020" w:rsidRDefault="00092020" w:rsidP="003F3EB6">
      <w:pPr>
        <w:jc w:val="both"/>
        <w:rPr>
          <w:lang w:val="de-DE"/>
        </w:rPr>
      </w:pPr>
      <w:r w:rsidRPr="00092020">
        <w:rPr>
          <w:lang w:val="de-DE"/>
        </w:rPr>
        <w:tab/>
      </w:r>
      <w:r w:rsidRPr="00092020">
        <w:rPr>
          <w:lang w:val="de-DE"/>
        </w:rPr>
        <w:tab/>
        <w:t>Haben Wir beschlossen und erlassen Wir:</w:t>
      </w:r>
    </w:p>
    <w:p w14:paraId="1394811B" w14:textId="77777777" w:rsidR="00092020" w:rsidRPr="00092020" w:rsidRDefault="00092020" w:rsidP="003F3EB6">
      <w:pPr>
        <w:jc w:val="both"/>
        <w:rPr>
          <w:sz w:val="22"/>
          <w:szCs w:val="22"/>
          <w:lang w:val="de-DE"/>
        </w:rPr>
      </w:pPr>
    </w:p>
    <w:p w14:paraId="4329B529" w14:textId="77777777" w:rsidR="00092020" w:rsidRPr="00092020" w:rsidRDefault="00092020" w:rsidP="003F3EB6">
      <w:pPr>
        <w:jc w:val="both"/>
        <w:rPr>
          <w:sz w:val="22"/>
          <w:szCs w:val="22"/>
          <w:lang w:val="de-DE"/>
        </w:rPr>
      </w:pPr>
    </w:p>
    <w:p w14:paraId="3217C342" w14:textId="77777777" w:rsidR="00092020" w:rsidRPr="00092020" w:rsidRDefault="00092020" w:rsidP="003F3EB6">
      <w:pPr>
        <w:jc w:val="both"/>
        <w:rPr>
          <w:lang w:val="de-DE"/>
        </w:rPr>
      </w:pPr>
      <w:r w:rsidRPr="00092020">
        <w:rPr>
          <w:b/>
          <w:lang w:val="de-DE"/>
        </w:rPr>
        <w:tab/>
        <w:t>Artikel 1 -</w:t>
      </w:r>
      <w:r w:rsidRPr="00092020">
        <w:rPr>
          <w:lang w:val="de-DE"/>
        </w:rPr>
        <w:t xml:space="preserve"> In Artikel 5 des Königlichen Erlasses vom 21. April 2007 über die Atem</w:t>
      </w:r>
      <w:r w:rsidRPr="00092020">
        <w:rPr>
          <w:lang w:val="de-DE"/>
        </w:rPr>
        <w:softHyphen/>
        <w:t>testgeräte und die Atemanalysegeräte werden die Wörter "im Gesetz vom 16. Juni 1970 über die Maßeinheiten, Eichmaße und Messgeräte" durch die Wörter "in Buch VIII Titel 3 Kapitel 2 Abschnitt 2 des Wirtschaftsgesetzbuches vom 28. Februar 2013" ersetzt.</w:t>
      </w:r>
    </w:p>
    <w:p w14:paraId="6DE657E4" w14:textId="77777777" w:rsidR="00092020" w:rsidRDefault="00092020" w:rsidP="003F3EB6">
      <w:pPr>
        <w:jc w:val="both"/>
        <w:rPr>
          <w:b/>
          <w:lang w:val="de-DE"/>
        </w:rPr>
      </w:pPr>
    </w:p>
    <w:p w14:paraId="3B4382B1" w14:textId="77777777" w:rsidR="00092020" w:rsidRDefault="00092020" w:rsidP="003F3EB6">
      <w:pPr>
        <w:jc w:val="both"/>
        <w:rPr>
          <w:b/>
          <w:lang w:val="de-DE"/>
        </w:rPr>
      </w:pPr>
    </w:p>
    <w:p w14:paraId="2AACEA81" w14:textId="77777777" w:rsidR="00092020" w:rsidRDefault="00092020" w:rsidP="003F3EB6">
      <w:pPr>
        <w:jc w:val="both"/>
        <w:rPr>
          <w:b/>
          <w:lang w:val="de-DE"/>
        </w:rPr>
      </w:pPr>
    </w:p>
    <w:p w14:paraId="40E40586" w14:textId="77777777" w:rsidR="00092020" w:rsidRPr="00092020" w:rsidRDefault="00092020" w:rsidP="003F3EB6">
      <w:pPr>
        <w:jc w:val="both"/>
        <w:rPr>
          <w:lang w:val="de-DE"/>
        </w:rPr>
      </w:pPr>
      <w:r w:rsidRPr="00092020">
        <w:rPr>
          <w:b/>
          <w:lang w:val="de-DE"/>
        </w:rPr>
        <w:lastRenderedPageBreak/>
        <w:tab/>
      </w:r>
      <w:r w:rsidRPr="00092020">
        <w:rPr>
          <w:b/>
          <w:bCs/>
          <w:lang w:val="de-DE"/>
        </w:rPr>
        <w:t>Art. 2</w:t>
      </w:r>
      <w:r w:rsidRPr="00092020">
        <w:rPr>
          <w:b/>
          <w:lang w:val="de-DE"/>
        </w:rPr>
        <w:t xml:space="preserve"> </w:t>
      </w:r>
      <w:r w:rsidRPr="00092020">
        <w:rPr>
          <w:b/>
          <w:bCs/>
          <w:lang w:val="de-DE"/>
        </w:rPr>
        <w:t>-</w:t>
      </w:r>
      <w:r w:rsidRPr="00092020">
        <w:rPr>
          <w:lang w:val="de-DE"/>
        </w:rPr>
        <w:t xml:space="preserve"> Artikel 23 desselben Erlasses wird aufgehoben.</w:t>
      </w:r>
    </w:p>
    <w:p w14:paraId="06B4CEA8" w14:textId="77777777" w:rsidR="00092020" w:rsidRPr="00092020" w:rsidRDefault="00092020" w:rsidP="003F3EB6">
      <w:pPr>
        <w:jc w:val="both"/>
        <w:rPr>
          <w:sz w:val="22"/>
          <w:szCs w:val="22"/>
          <w:lang w:val="de-DE"/>
        </w:rPr>
      </w:pPr>
    </w:p>
    <w:p w14:paraId="6168C8DD" w14:textId="77777777" w:rsidR="00092020" w:rsidRPr="00092020" w:rsidRDefault="00092020" w:rsidP="003F3EB6">
      <w:pPr>
        <w:jc w:val="both"/>
        <w:rPr>
          <w:sz w:val="22"/>
          <w:szCs w:val="22"/>
          <w:lang w:val="de-DE"/>
        </w:rPr>
      </w:pPr>
    </w:p>
    <w:p w14:paraId="0BEEAB38" w14:textId="77777777" w:rsidR="00092020" w:rsidRPr="00092020" w:rsidRDefault="00092020" w:rsidP="003F3EB6">
      <w:pPr>
        <w:jc w:val="both"/>
        <w:rPr>
          <w:lang w:val="de-DE"/>
        </w:rPr>
      </w:pPr>
      <w:r w:rsidRPr="00092020">
        <w:rPr>
          <w:b/>
          <w:lang w:val="de-DE"/>
        </w:rPr>
        <w:tab/>
      </w:r>
      <w:r w:rsidRPr="00092020">
        <w:rPr>
          <w:b/>
          <w:bCs/>
          <w:lang w:val="de-DE"/>
        </w:rPr>
        <w:t>Art. 3</w:t>
      </w:r>
      <w:r w:rsidRPr="00092020">
        <w:rPr>
          <w:b/>
          <w:lang w:val="de-DE"/>
        </w:rPr>
        <w:t xml:space="preserve"> </w:t>
      </w:r>
      <w:r w:rsidRPr="00092020">
        <w:rPr>
          <w:b/>
          <w:bCs/>
          <w:lang w:val="de-DE"/>
        </w:rPr>
        <w:t>-</w:t>
      </w:r>
      <w:r w:rsidRPr="00092020">
        <w:rPr>
          <w:lang w:val="de-DE"/>
        </w:rPr>
        <w:t xml:space="preserve"> In Artikel 24 Absatz 2 desselben Erlasses werden die Wörter "in das Gerät zu blasen bis das Gerät das Ende einer gültigen Probenahme anzeigt" durch die Wörter "und so lange wie möglich in das Gerät zu blasen" ersetzt.</w:t>
      </w:r>
    </w:p>
    <w:p w14:paraId="5E2B2A28" w14:textId="77777777" w:rsidR="00092020" w:rsidRPr="00092020" w:rsidRDefault="00092020" w:rsidP="003F3EB6">
      <w:pPr>
        <w:jc w:val="both"/>
        <w:rPr>
          <w:sz w:val="22"/>
          <w:szCs w:val="22"/>
          <w:lang w:val="de-DE"/>
        </w:rPr>
      </w:pPr>
    </w:p>
    <w:p w14:paraId="38FD1DD1" w14:textId="77777777" w:rsidR="00092020" w:rsidRPr="00092020" w:rsidRDefault="00092020" w:rsidP="003F3EB6">
      <w:pPr>
        <w:jc w:val="both"/>
        <w:rPr>
          <w:sz w:val="22"/>
          <w:szCs w:val="22"/>
          <w:lang w:val="de-DE"/>
        </w:rPr>
      </w:pPr>
    </w:p>
    <w:p w14:paraId="616DBA3C" w14:textId="77777777" w:rsidR="00092020" w:rsidRPr="00092020" w:rsidRDefault="00092020" w:rsidP="003F3EB6">
      <w:pPr>
        <w:jc w:val="both"/>
        <w:rPr>
          <w:lang w:val="de-DE"/>
        </w:rPr>
      </w:pPr>
      <w:r w:rsidRPr="00092020">
        <w:rPr>
          <w:b/>
          <w:lang w:val="de-DE"/>
        </w:rPr>
        <w:tab/>
        <w:t>Art. 4. -</w:t>
      </w:r>
      <w:r w:rsidRPr="00092020">
        <w:rPr>
          <w:caps/>
          <w:lang w:val="de-DE"/>
        </w:rPr>
        <w:t xml:space="preserve"> </w:t>
      </w:r>
      <w:r w:rsidRPr="00092020">
        <w:rPr>
          <w:lang w:val="de-DE"/>
        </w:rPr>
        <w:t>Punkt 3.14.2 von Anlage 2 zum selben Erlass, abgeändert durch Artikel 6 des Königlichen Erlasses vom 10. Juni 2014, wird wie folgt abgeändert:</w:t>
      </w:r>
    </w:p>
    <w:p w14:paraId="498E6B6F" w14:textId="77777777" w:rsidR="00092020" w:rsidRPr="00092020" w:rsidRDefault="00092020" w:rsidP="003F3EB6">
      <w:pPr>
        <w:jc w:val="both"/>
        <w:rPr>
          <w:sz w:val="22"/>
          <w:szCs w:val="22"/>
          <w:lang w:val="de-DE"/>
        </w:rPr>
      </w:pPr>
    </w:p>
    <w:p w14:paraId="77BC60C8" w14:textId="77777777" w:rsidR="00092020" w:rsidRPr="00092020" w:rsidRDefault="00092020" w:rsidP="003F3EB6">
      <w:pPr>
        <w:jc w:val="both"/>
        <w:rPr>
          <w:lang w:val="de-DE"/>
        </w:rPr>
      </w:pPr>
      <w:r w:rsidRPr="00092020">
        <w:rPr>
          <w:lang w:val="de-DE"/>
        </w:rPr>
        <w:tab/>
        <w:t>1. In Absatz 1 werden die Wörter "1,9" durch die Wörter "1,2" ersetzt.</w:t>
      </w:r>
    </w:p>
    <w:p w14:paraId="10D9C23C" w14:textId="77777777" w:rsidR="00092020" w:rsidRPr="00092020" w:rsidRDefault="00092020" w:rsidP="003F3EB6">
      <w:pPr>
        <w:jc w:val="both"/>
        <w:rPr>
          <w:sz w:val="22"/>
          <w:szCs w:val="22"/>
          <w:lang w:val="de-DE"/>
        </w:rPr>
      </w:pPr>
    </w:p>
    <w:p w14:paraId="0CFD28BA" w14:textId="77777777" w:rsidR="00092020" w:rsidRPr="00092020" w:rsidRDefault="00092020" w:rsidP="003F3EB6">
      <w:pPr>
        <w:jc w:val="both"/>
        <w:rPr>
          <w:lang w:val="de-DE"/>
        </w:rPr>
      </w:pPr>
      <w:r w:rsidRPr="00092020">
        <w:rPr>
          <w:lang w:val="de-DE"/>
        </w:rPr>
        <w:tab/>
        <w:t>2. In</w:t>
      </w:r>
      <w:r w:rsidRPr="00092020">
        <w:rPr>
          <w:sz w:val="22"/>
          <w:szCs w:val="22"/>
          <w:lang w:val="de-DE"/>
        </w:rPr>
        <w:t xml:space="preserve"> </w:t>
      </w:r>
      <w:r w:rsidRPr="00092020">
        <w:rPr>
          <w:lang w:val="de-DE"/>
        </w:rPr>
        <w:t>Absatz</w:t>
      </w:r>
      <w:r w:rsidRPr="00092020">
        <w:rPr>
          <w:sz w:val="20"/>
          <w:szCs w:val="20"/>
          <w:lang w:val="de-DE"/>
        </w:rPr>
        <w:t> </w:t>
      </w:r>
      <w:r w:rsidRPr="00092020">
        <w:rPr>
          <w:lang w:val="de-DE"/>
        </w:rPr>
        <w:t>3</w:t>
      </w:r>
      <w:r w:rsidRPr="00092020">
        <w:rPr>
          <w:sz w:val="22"/>
          <w:szCs w:val="22"/>
          <w:lang w:val="de-DE"/>
        </w:rPr>
        <w:t xml:space="preserve"> </w:t>
      </w:r>
      <w:r w:rsidRPr="00092020">
        <w:rPr>
          <w:lang w:val="de-DE"/>
        </w:rPr>
        <w:t>werden</w:t>
      </w:r>
      <w:r w:rsidRPr="00092020">
        <w:rPr>
          <w:sz w:val="22"/>
          <w:szCs w:val="22"/>
          <w:lang w:val="de-DE"/>
        </w:rPr>
        <w:t xml:space="preserve"> </w:t>
      </w:r>
      <w:r w:rsidRPr="00092020">
        <w:rPr>
          <w:lang w:val="de-DE"/>
        </w:rPr>
        <w:t>die</w:t>
      </w:r>
      <w:r w:rsidRPr="00092020">
        <w:rPr>
          <w:sz w:val="22"/>
          <w:szCs w:val="22"/>
          <w:lang w:val="de-DE"/>
        </w:rPr>
        <w:t xml:space="preserve"> </w:t>
      </w:r>
      <w:r w:rsidRPr="00092020">
        <w:rPr>
          <w:lang w:val="de-DE"/>
        </w:rPr>
        <w:t>Wörter</w:t>
      </w:r>
      <w:r w:rsidRPr="00092020">
        <w:rPr>
          <w:sz w:val="22"/>
          <w:szCs w:val="22"/>
          <w:lang w:val="de-DE"/>
        </w:rPr>
        <w:t xml:space="preserve"> </w:t>
      </w:r>
      <w:r w:rsidRPr="00092020">
        <w:rPr>
          <w:lang w:val="de-DE"/>
        </w:rPr>
        <w:t>",</w:t>
      </w:r>
      <w:r w:rsidRPr="00092020">
        <w:rPr>
          <w:sz w:val="20"/>
          <w:szCs w:val="20"/>
          <w:lang w:val="de-DE"/>
        </w:rPr>
        <w:t xml:space="preserve"> </w:t>
      </w:r>
      <w:r w:rsidRPr="00092020">
        <w:rPr>
          <w:lang w:val="de-DE"/>
        </w:rPr>
        <w:t>ab</w:t>
      </w:r>
      <w:r w:rsidRPr="00092020">
        <w:rPr>
          <w:sz w:val="20"/>
          <w:szCs w:val="20"/>
          <w:lang w:val="de-DE"/>
        </w:rPr>
        <w:t xml:space="preserve"> </w:t>
      </w:r>
      <w:r w:rsidRPr="00092020">
        <w:rPr>
          <w:lang w:val="de-DE"/>
        </w:rPr>
        <w:t>dem</w:t>
      </w:r>
      <w:r w:rsidRPr="00092020">
        <w:rPr>
          <w:sz w:val="20"/>
          <w:szCs w:val="20"/>
          <w:lang w:val="de-DE"/>
        </w:rPr>
        <w:t xml:space="preserve"> </w:t>
      </w:r>
      <w:r w:rsidRPr="00092020">
        <w:rPr>
          <w:lang w:val="de-DE"/>
        </w:rPr>
        <w:t>Zeitpunkt,</w:t>
      </w:r>
      <w:r w:rsidRPr="00092020">
        <w:rPr>
          <w:sz w:val="20"/>
          <w:szCs w:val="20"/>
          <w:lang w:val="de-DE"/>
        </w:rPr>
        <w:t xml:space="preserve"> </w:t>
      </w:r>
      <w:r w:rsidRPr="00092020">
        <w:rPr>
          <w:lang w:val="de-DE"/>
        </w:rPr>
        <w:t>an</w:t>
      </w:r>
      <w:r w:rsidRPr="00092020">
        <w:rPr>
          <w:sz w:val="20"/>
          <w:szCs w:val="20"/>
          <w:lang w:val="de-DE"/>
        </w:rPr>
        <w:t xml:space="preserve"> </w:t>
      </w:r>
      <w:r w:rsidRPr="00092020">
        <w:rPr>
          <w:lang w:val="de-DE"/>
        </w:rPr>
        <w:t>dem</w:t>
      </w:r>
      <w:r w:rsidRPr="00092020">
        <w:rPr>
          <w:sz w:val="22"/>
          <w:szCs w:val="22"/>
          <w:lang w:val="de-DE"/>
        </w:rPr>
        <w:t xml:space="preserve"> </w:t>
      </w:r>
      <w:r w:rsidRPr="00092020">
        <w:rPr>
          <w:lang w:val="de-DE"/>
        </w:rPr>
        <w:t>das</w:t>
      </w:r>
      <w:r w:rsidRPr="00092020">
        <w:rPr>
          <w:sz w:val="22"/>
          <w:szCs w:val="22"/>
          <w:lang w:val="de-DE"/>
        </w:rPr>
        <w:t xml:space="preserve"> </w:t>
      </w:r>
      <w:r w:rsidRPr="00092020">
        <w:rPr>
          <w:lang w:val="de-DE"/>
        </w:rPr>
        <w:t>minimale</w:t>
      </w:r>
      <w:r w:rsidRPr="00092020">
        <w:rPr>
          <w:sz w:val="22"/>
          <w:szCs w:val="22"/>
          <w:lang w:val="de-DE"/>
        </w:rPr>
        <w:t xml:space="preserve"> </w:t>
      </w:r>
      <w:r w:rsidRPr="00092020">
        <w:rPr>
          <w:lang w:val="de-DE"/>
        </w:rPr>
        <w:t>erforderliche Volumen 1,9 l erreicht hat" durch die Wörter "ab dem Zeitpunkt, an dem die Person maximal ausgeatmet hat und das minimal erforderliche Volumen von 1,2 l erreicht wird" ersetzt.</w:t>
      </w:r>
    </w:p>
    <w:p w14:paraId="6710327F" w14:textId="77777777" w:rsidR="00092020" w:rsidRPr="00092020" w:rsidRDefault="00092020" w:rsidP="003F3EB6">
      <w:pPr>
        <w:jc w:val="both"/>
        <w:rPr>
          <w:sz w:val="22"/>
          <w:szCs w:val="22"/>
          <w:lang w:val="de-DE"/>
        </w:rPr>
      </w:pPr>
    </w:p>
    <w:p w14:paraId="736E248D" w14:textId="77777777" w:rsidR="00092020" w:rsidRPr="00092020" w:rsidRDefault="00092020" w:rsidP="003F3EB6">
      <w:pPr>
        <w:jc w:val="both"/>
        <w:rPr>
          <w:sz w:val="22"/>
          <w:szCs w:val="22"/>
          <w:lang w:val="de-DE"/>
        </w:rPr>
      </w:pPr>
    </w:p>
    <w:p w14:paraId="637D1D12" w14:textId="77777777" w:rsidR="00092020" w:rsidRPr="00092020" w:rsidRDefault="00092020" w:rsidP="003F3EB6">
      <w:pPr>
        <w:jc w:val="both"/>
        <w:rPr>
          <w:lang w:val="de-DE"/>
        </w:rPr>
      </w:pPr>
      <w:r w:rsidRPr="00092020">
        <w:rPr>
          <w:b/>
          <w:lang w:val="de-DE"/>
        </w:rPr>
        <w:tab/>
      </w:r>
      <w:r w:rsidRPr="00092020">
        <w:rPr>
          <w:b/>
          <w:bCs/>
          <w:lang w:val="de-DE"/>
        </w:rPr>
        <w:t>Art. 5</w:t>
      </w:r>
      <w:r w:rsidRPr="00092020">
        <w:rPr>
          <w:b/>
          <w:lang w:val="de-DE"/>
        </w:rPr>
        <w:t xml:space="preserve"> </w:t>
      </w:r>
      <w:r w:rsidRPr="00092020">
        <w:rPr>
          <w:b/>
          <w:bCs/>
          <w:lang w:val="de-DE"/>
        </w:rPr>
        <w:t>-</w:t>
      </w:r>
      <w:r w:rsidRPr="00092020">
        <w:rPr>
          <w:lang w:val="de-DE"/>
        </w:rPr>
        <w:t xml:space="preserve"> Übergangsbestimmungen</w:t>
      </w:r>
    </w:p>
    <w:p w14:paraId="51D13273" w14:textId="77777777" w:rsidR="00092020" w:rsidRPr="00092020" w:rsidRDefault="00092020" w:rsidP="003F3EB6">
      <w:pPr>
        <w:jc w:val="both"/>
        <w:rPr>
          <w:sz w:val="22"/>
          <w:szCs w:val="22"/>
          <w:lang w:val="de-DE"/>
        </w:rPr>
      </w:pPr>
    </w:p>
    <w:p w14:paraId="618949BB" w14:textId="77777777" w:rsidR="00092020" w:rsidRPr="00092020" w:rsidRDefault="00092020" w:rsidP="003F3EB6">
      <w:pPr>
        <w:jc w:val="both"/>
        <w:rPr>
          <w:lang w:val="de-DE"/>
        </w:rPr>
      </w:pPr>
      <w:r w:rsidRPr="00092020">
        <w:rPr>
          <w:lang w:val="de-DE"/>
        </w:rPr>
        <w:tab/>
        <w:t>Atemanalysegeräte, die zum Zeitpunkt des Inkrafttretens des vorliegenden Erlasses gül</w:t>
      </w:r>
      <w:r w:rsidRPr="00092020">
        <w:rPr>
          <w:lang w:val="de-DE"/>
        </w:rPr>
        <w:softHyphen/>
        <w:t>tig</w:t>
      </w:r>
      <w:r w:rsidRPr="00092020">
        <w:rPr>
          <w:sz w:val="22"/>
          <w:szCs w:val="22"/>
          <w:lang w:val="de-DE"/>
        </w:rPr>
        <w:t xml:space="preserve"> </w:t>
      </w:r>
      <w:r w:rsidRPr="00092020">
        <w:rPr>
          <w:lang w:val="de-DE"/>
        </w:rPr>
        <w:t>sind,</w:t>
      </w:r>
      <w:r w:rsidRPr="00092020">
        <w:rPr>
          <w:sz w:val="22"/>
          <w:szCs w:val="22"/>
          <w:lang w:val="de-DE"/>
        </w:rPr>
        <w:t xml:space="preserve"> </w:t>
      </w:r>
      <w:r w:rsidRPr="00092020">
        <w:rPr>
          <w:lang w:val="de-DE"/>
        </w:rPr>
        <w:t>dürfen</w:t>
      </w:r>
      <w:r w:rsidRPr="00092020">
        <w:rPr>
          <w:sz w:val="22"/>
          <w:szCs w:val="22"/>
          <w:lang w:val="de-DE"/>
        </w:rPr>
        <w:t xml:space="preserve"> </w:t>
      </w:r>
      <w:r w:rsidRPr="00092020">
        <w:rPr>
          <w:lang w:val="de-DE"/>
        </w:rPr>
        <w:t>weiter</w:t>
      </w:r>
      <w:r w:rsidRPr="00092020">
        <w:rPr>
          <w:sz w:val="22"/>
          <w:szCs w:val="22"/>
          <w:lang w:val="de-DE"/>
        </w:rPr>
        <w:t xml:space="preserve"> </w:t>
      </w:r>
      <w:r w:rsidRPr="00092020">
        <w:rPr>
          <w:lang w:val="de-DE"/>
        </w:rPr>
        <w:t>verwendet</w:t>
      </w:r>
      <w:r w:rsidRPr="00092020">
        <w:rPr>
          <w:sz w:val="22"/>
          <w:szCs w:val="22"/>
          <w:lang w:val="de-DE"/>
        </w:rPr>
        <w:t xml:space="preserve"> </w:t>
      </w:r>
      <w:r w:rsidRPr="00092020">
        <w:rPr>
          <w:lang w:val="de-DE"/>
        </w:rPr>
        <w:t>werden,</w:t>
      </w:r>
      <w:r w:rsidRPr="00092020">
        <w:rPr>
          <w:sz w:val="22"/>
          <w:szCs w:val="22"/>
          <w:lang w:val="de-DE"/>
        </w:rPr>
        <w:t xml:space="preserve"> </w:t>
      </w:r>
      <w:r w:rsidRPr="00092020">
        <w:rPr>
          <w:lang w:val="de-DE"/>
        </w:rPr>
        <w:t>sofern sie bei ihrer nächsten Nacheichung an die ab</w:t>
      </w:r>
      <w:r w:rsidRPr="00092020">
        <w:rPr>
          <w:lang w:val="de-DE"/>
        </w:rPr>
        <w:softHyphen/>
        <w:t>geänderten Bestimmungen von Punkt 3.14.2 von Anhang 2 zum vorerwähnten Erlass angepasst werden.</w:t>
      </w:r>
    </w:p>
    <w:p w14:paraId="6ADE709C" w14:textId="77777777" w:rsidR="00092020" w:rsidRPr="00092020" w:rsidRDefault="00092020" w:rsidP="003F3EB6">
      <w:pPr>
        <w:jc w:val="both"/>
        <w:rPr>
          <w:sz w:val="22"/>
          <w:szCs w:val="22"/>
          <w:lang w:val="de-DE"/>
        </w:rPr>
      </w:pPr>
    </w:p>
    <w:p w14:paraId="7292FD2A" w14:textId="77777777" w:rsidR="00092020" w:rsidRPr="00092020" w:rsidRDefault="00092020" w:rsidP="003F3EB6">
      <w:pPr>
        <w:jc w:val="both"/>
        <w:rPr>
          <w:sz w:val="22"/>
          <w:szCs w:val="22"/>
          <w:lang w:val="de-DE"/>
        </w:rPr>
      </w:pPr>
    </w:p>
    <w:p w14:paraId="0C073510" w14:textId="77777777" w:rsidR="00092020" w:rsidRPr="00092020" w:rsidRDefault="00092020" w:rsidP="003F3EB6">
      <w:pPr>
        <w:jc w:val="both"/>
        <w:rPr>
          <w:lang w:val="de-DE"/>
        </w:rPr>
      </w:pPr>
      <w:r w:rsidRPr="00092020">
        <w:rPr>
          <w:b/>
          <w:lang w:val="de-DE"/>
        </w:rPr>
        <w:tab/>
      </w:r>
      <w:r w:rsidRPr="00092020">
        <w:rPr>
          <w:b/>
          <w:bCs/>
          <w:lang w:val="de-DE"/>
        </w:rPr>
        <w:t>Art. 6</w:t>
      </w:r>
      <w:r w:rsidRPr="00092020">
        <w:rPr>
          <w:b/>
          <w:lang w:val="de-DE"/>
        </w:rPr>
        <w:t xml:space="preserve"> </w:t>
      </w:r>
      <w:r w:rsidRPr="00092020">
        <w:rPr>
          <w:b/>
          <w:bCs/>
          <w:lang w:val="de-DE"/>
        </w:rPr>
        <w:t>-</w:t>
      </w:r>
      <w:r w:rsidRPr="00092020">
        <w:rPr>
          <w:lang w:val="de-DE"/>
        </w:rPr>
        <w:t xml:space="preserve"> Die Artikel 1 und 2 des vorliegenden Erlasses treten am ersten Tag des Monats nach Ablauf einer Frist von zehn Tagen, die am Tag nach seiner Veröffentlichung im </w:t>
      </w:r>
      <w:r w:rsidRPr="00092020">
        <w:rPr>
          <w:i/>
          <w:lang w:val="de-DE"/>
        </w:rPr>
        <w:t>Belgischen Staatsblatt</w:t>
      </w:r>
      <w:r w:rsidRPr="00092020">
        <w:rPr>
          <w:lang w:val="de-DE"/>
        </w:rPr>
        <w:t xml:space="preserve"> beginnt, in Kraft.</w:t>
      </w:r>
    </w:p>
    <w:p w14:paraId="0B8B6395" w14:textId="77777777" w:rsidR="00092020" w:rsidRPr="00092020" w:rsidRDefault="00092020" w:rsidP="003F3EB6">
      <w:pPr>
        <w:jc w:val="both"/>
        <w:rPr>
          <w:sz w:val="22"/>
          <w:szCs w:val="22"/>
          <w:lang w:val="de-DE"/>
        </w:rPr>
      </w:pPr>
    </w:p>
    <w:p w14:paraId="7D780A84" w14:textId="77777777" w:rsidR="00092020" w:rsidRPr="00092020" w:rsidRDefault="00092020" w:rsidP="003F3EB6">
      <w:pPr>
        <w:jc w:val="both"/>
        <w:rPr>
          <w:lang w:val="de-DE"/>
        </w:rPr>
      </w:pPr>
      <w:r w:rsidRPr="00092020">
        <w:rPr>
          <w:lang w:val="de-DE"/>
        </w:rPr>
        <w:tab/>
        <w:t xml:space="preserve">Die Artikel 3, 4 und 5 des vorliegenden Erlasses treten am ersten Tag des dritten Monats nach Ablauf einer Frist von zehn Tagen, die am Tag nach seiner Veröffentlichung im </w:t>
      </w:r>
      <w:r w:rsidRPr="00092020">
        <w:rPr>
          <w:i/>
          <w:lang w:val="de-DE"/>
        </w:rPr>
        <w:t>Belgischen Staatsblatt</w:t>
      </w:r>
      <w:r w:rsidRPr="00092020">
        <w:rPr>
          <w:lang w:val="de-DE"/>
        </w:rPr>
        <w:t xml:space="preserve"> beginnt, in Kraft.</w:t>
      </w:r>
    </w:p>
    <w:p w14:paraId="01385D6C" w14:textId="77777777" w:rsidR="00092020" w:rsidRPr="00092020" w:rsidRDefault="00092020" w:rsidP="003F3EB6">
      <w:pPr>
        <w:jc w:val="both"/>
        <w:rPr>
          <w:sz w:val="22"/>
          <w:szCs w:val="22"/>
          <w:lang w:val="de-DE"/>
        </w:rPr>
      </w:pPr>
    </w:p>
    <w:p w14:paraId="6A64A843" w14:textId="77777777" w:rsidR="00092020" w:rsidRPr="00092020" w:rsidRDefault="00092020" w:rsidP="003F3EB6">
      <w:pPr>
        <w:jc w:val="both"/>
        <w:rPr>
          <w:sz w:val="22"/>
          <w:szCs w:val="22"/>
          <w:lang w:val="de-DE"/>
        </w:rPr>
      </w:pPr>
    </w:p>
    <w:p w14:paraId="3297FCBE" w14:textId="77777777" w:rsidR="00092020" w:rsidRPr="00092020" w:rsidRDefault="00092020" w:rsidP="003F3EB6">
      <w:pPr>
        <w:jc w:val="both"/>
        <w:rPr>
          <w:lang w:val="de-DE"/>
        </w:rPr>
      </w:pPr>
      <w:r w:rsidRPr="00092020">
        <w:rPr>
          <w:b/>
          <w:lang w:val="de-DE"/>
        </w:rPr>
        <w:tab/>
      </w:r>
      <w:r w:rsidRPr="00092020">
        <w:rPr>
          <w:b/>
          <w:bCs/>
          <w:lang w:val="de-DE"/>
        </w:rPr>
        <w:t>Art. 7</w:t>
      </w:r>
      <w:r w:rsidRPr="00092020">
        <w:rPr>
          <w:b/>
          <w:lang w:val="de-DE"/>
        </w:rPr>
        <w:t xml:space="preserve"> </w:t>
      </w:r>
      <w:r w:rsidRPr="00092020">
        <w:rPr>
          <w:b/>
          <w:bCs/>
          <w:lang w:val="de-DE"/>
        </w:rPr>
        <w:t>-</w:t>
      </w:r>
      <w:r w:rsidRPr="00092020">
        <w:rPr>
          <w:lang w:val="de-DE"/>
        </w:rPr>
        <w:t xml:space="preserve"> Der Minister der Wirtschaft, der Minister der Justiz und der für den Straßenver</w:t>
      </w:r>
      <w:r w:rsidRPr="00092020">
        <w:rPr>
          <w:lang w:val="de-DE"/>
        </w:rPr>
        <w:softHyphen/>
        <w:t>kehr zuständige Minister sind mit der Ausführung des vorliegenden Erlasses beauftragt.</w:t>
      </w:r>
    </w:p>
    <w:p w14:paraId="0BC7C145" w14:textId="77777777" w:rsidR="00092020" w:rsidRPr="00092020" w:rsidRDefault="00092020" w:rsidP="003F3EB6">
      <w:pPr>
        <w:jc w:val="both"/>
        <w:rPr>
          <w:sz w:val="22"/>
          <w:szCs w:val="22"/>
          <w:lang w:val="de-DE"/>
        </w:rPr>
      </w:pPr>
    </w:p>
    <w:p w14:paraId="094E290B" w14:textId="77777777" w:rsidR="00092020" w:rsidRPr="00092020" w:rsidRDefault="00092020" w:rsidP="003F3EB6">
      <w:pPr>
        <w:jc w:val="both"/>
        <w:rPr>
          <w:sz w:val="20"/>
          <w:szCs w:val="20"/>
          <w:lang w:val="de-DE"/>
        </w:rPr>
      </w:pPr>
    </w:p>
    <w:p w14:paraId="16894E96" w14:textId="77777777" w:rsidR="00092020" w:rsidRPr="00092020" w:rsidRDefault="00092020" w:rsidP="003F3EB6">
      <w:pPr>
        <w:jc w:val="both"/>
        <w:rPr>
          <w:lang w:val="de-DE"/>
        </w:rPr>
      </w:pPr>
      <w:r w:rsidRPr="00092020">
        <w:rPr>
          <w:lang w:val="de-DE"/>
        </w:rPr>
        <w:tab/>
        <w:t>Gegeben zu Brüssel, den 14. April 2024</w:t>
      </w:r>
    </w:p>
    <w:p w14:paraId="2C987DD3" w14:textId="77777777" w:rsidR="00092020" w:rsidRPr="00092020" w:rsidRDefault="00092020" w:rsidP="003F3EB6">
      <w:pPr>
        <w:jc w:val="both"/>
        <w:rPr>
          <w:sz w:val="20"/>
          <w:szCs w:val="20"/>
          <w:lang w:val="de-DE"/>
        </w:rPr>
      </w:pPr>
    </w:p>
    <w:p w14:paraId="711FDD5E" w14:textId="77777777" w:rsidR="00092020" w:rsidRPr="00092020" w:rsidRDefault="00092020" w:rsidP="003F3EB6">
      <w:pPr>
        <w:jc w:val="both"/>
        <w:rPr>
          <w:sz w:val="20"/>
          <w:szCs w:val="20"/>
          <w:lang w:val="de-DE"/>
        </w:rPr>
      </w:pPr>
    </w:p>
    <w:p w14:paraId="6E7C578E" w14:textId="77777777" w:rsidR="00092020" w:rsidRPr="00092020" w:rsidRDefault="00092020" w:rsidP="003F3EB6">
      <w:pPr>
        <w:jc w:val="center"/>
        <w:rPr>
          <w:lang w:val="de-DE"/>
        </w:rPr>
      </w:pPr>
      <w:r w:rsidRPr="00092020">
        <w:rPr>
          <w:lang w:val="de-DE"/>
        </w:rPr>
        <w:t>PHILIPPE</w:t>
      </w:r>
    </w:p>
    <w:p w14:paraId="3337DEE5" w14:textId="77777777" w:rsidR="00092020" w:rsidRPr="00092020" w:rsidRDefault="00092020" w:rsidP="00045205">
      <w:pPr>
        <w:jc w:val="both"/>
        <w:rPr>
          <w:sz w:val="22"/>
          <w:szCs w:val="22"/>
          <w:lang w:val="de-DE"/>
        </w:rPr>
      </w:pPr>
    </w:p>
    <w:p w14:paraId="016EB7DC" w14:textId="77777777" w:rsidR="00092020" w:rsidRPr="00092020" w:rsidRDefault="00092020" w:rsidP="003F3EB6">
      <w:pPr>
        <w:jc w:val="center"/>
        <w:rPr>
          <w:lang w:val="de-DE"/>
        </w:rPr>
      </w:pPr>
      <w:r w:rsidRPr="00092020">
        <w:rPr>
          <w:lang w:val="de-DE"/>
        </w:rPr>
        <w:t>Von Königs wegen:</w:t>
      </w:r>
    </w:p>
    <w:p w14:paraId="0F901D09" w14:textId="77777777" w:rsidR="00092020" w:rsidRPr="00092020" w:rsidRDefault="00092020" w:rsidP="00045205">
      <w:pPr>
        <w:jc w:val="both"/>
        <w:rPr>
          <w:sz w:val="22"/>
          <w:szCs w:val="22"/>
          <w:lang w:val="de-DE"/>
        </w:rPr>
      </w:pPr>
    </w:p>
    <w:p w14:paraId="26B698E5" w14:textId="77777777" w:rsidR="00092020" w:rsidRPr="00092020" w:rsidRDefault="00092020" w:rsidP="003F3EB6">
      <w:pPr>
        <w:jc w:val="center"/>
        <w:rPr>
          <w:lang w:val="de-DE"/>
        </w:rPr>
      </w:pPr>
      <w:r w:rsidRPr="00092020">
        <w:rPr>
          <w:lang w:val="de-DE"/>
        </w:rPr>
        <w:t>Der Minister der Wirtschaft</w:t>
      </w:r>
    </w:p>
    <w:p w14:paraId="46145821" w14:textId="77777777" w:rsidR="00092020" w:rsidRPr="00092020" w:rsidRDefault="00092020" w:rsidP="003F3EB6">
      <w:pPr>
        <w:jc w:val="center"/>
        <w:rPr>
          <w:lang w:val="de-DE"/>
        </w:rPr>
      </w:pPr>
      <w:r w:rsidRPr="00092020">
        <w:rPr>
          <w:lang w:val="de-DE"/>
        </w:rPr>
        <w:t>P.-Y. DERMAGNE</w:t>
      </w:r>
    </w:p>
    <w:p w14:paraId="1585BE66" w14:textId="77777777" w:rsidR="00092020" w:rsidRPr="00092020" w:rsidRDefault="00092020" w:rsidP="00045205">
      <w:pPr>
        <w:jc w:val="both"/>
        <w:rPr>
          <w:sz w:val="22"/>
          <w:szCs w:val="22"/>
          <w:lang w:val="de-DE"/>
        </w:rPr>
      </w:pPr>
    </w:p>
    <w:p w14:paraId="46E6071A" w14:textId="77777777" w:rsidR="00092020" w:rsidRPr="00092020" w:rsidRDefault="00092020" w:rsidP="003F3EB6">
      <w:pPr>
        <w:jc w:val="center"/>
        <w:rPr>
          <w:lang w:val="de-DE"/>
        </w:rPr>
      </w:pPr>
      <w:r w:rsidRPr="00092020">
        <w:rPr>
          <w:lang w:val="de-DE"/>
        </w:rPr>
        <w:t>Der Minister der Mobilität</w:t>
      </w:r>
    </w:p>
    <w:p w14:paraId="01AB4531" w14:textId="77777777" w:rsidR="00092020" w:rsidRPr="00092020" w:rsidRDefault="00092020" w:rsidP="003F3EB6">
      <w:pPr>
        <w:jc w:val="center"/>
        <w:rPr>
          <w:lang w:val="de-DE"/>
        </w:rPr>
      </w:pPr>
      <w:r w:rsidRPr="00092020">
        <w:rPr>
          <w:lang w:val="de-DE"/>
        </w:rPr>
        <w:t>G. GILKINET</w:t>
      </w:r>
    </w:p>
    <w:p w14:paraId="228A2CFD" w14:textId="77777777" w:rsidR="00092020" w:rsidRPr="00092020" w:rsidRDefault="00092020" w:rsidP="00045205">
      <w:pPr>
        <w:jc w:val="both"/>
        <w:rPr>
          <w:sz w:val="22"/>
          <w:szCs w:val="22"/>
          <w:lang w:val="de-DE"/>
        </w:rPr>
      </w:pPr>
    </w:p>
    <w:p w14:paraId="29ECA4A1" w14:textId="77777777" w:rsidR="00092020" w:rsidRPr="00092020" w:rsidRDefault="00092020" w:rsidP="003F3EB6">
      <w:pPr>
        <w:jc w:val="center"/>
        <w:rPr>
          <w:lang w:val="de-DE"/>
        </w:rPr>
      </w:pPr>
      <w:r w:rsidRPr="00092020">
        <w:rPr>
          <w:lang w:val="de-DE"/>
        </w:rPr>
        <w:t>Der Minister der Justiz</w:t>
      </w:r>
    </w:p>
    <w:p w14:paraId="2A078A5D" w14:textId="46AD31AD" w:rsidR="00233F36" w:rsidRPr="00092020" w:rsidRDefault="00092020" w:rsidP="00092020">
      <w:pPr>
        <w:jc w:val="center"/>
        <w:rPr>
          <w:lang w:val="de-DE"/>
        </w:rPr>
      </w:pPr>
      <w:r w:rsidRPr="00092020">
        <w:rPr>
          <w:lang w:val="de-DE"/>
        </w:rPr>
        <w:t>P. VAN TIGCHELT</w:t>
      </w:r>
    </w:p>
    <w:sectPr w:rsidR="00233F36" w:rsidRPr="00092020" w:rsidSect="00092020">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688119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92020"/>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C1ACA"/>
    <w:rsid w:val="006F4381"/>
    <w:rsid w:val="00786C4F"/>
    <w:rsid w:val="007A515C"/>
    <w:rsid w:val="007D5F55"/>
    <w:rsid w:val="00800E1A"/>
    <w:rsid w:val="008C2124"/>
    <w:rsid w:val="00AA413E"/>
    <w:rsid w:val="00AB18C3"/>
    <w:rsid w:val="00B07BC4"/>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7BF24"/>
  <w15:docId w15:val="{B1AE6B63-A7CE-4D7C-A2E4-C11002B6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2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2025-06-02T10:05:00Z</dcterms:created>
  <dcterms:modified xsi:type="dcterms:W3CDTF">2025-06-02T10:08:00Z</dcterms:modified>
</cp:coreProperties>
</file>