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6F9DB" w14:textId="7FC4CDBA" w:rsidR="00233F36" w:rsidRPr="000A562A" w:rsidRDefault="00471E7D" w:rsidP="00471E7D">
      <w:pPr>
        <w:jc w:val="center"/>
        <w:rPr>
          <w:lang w:val="de-DE"/>
        </w:rPr>
      </w:pPr>
      <w:r w:rsidRPr="00471E7D">
        <w:rPr>
          <w:b/>
          <w:bCs/>
          <w:lang w:val="de-DE"/>
        </w:rPr>
        <w:t>13. MÄRZ 2024 -</w:t>
      </w:r>
      <w:r w:rsidRPr="00471E7D">
        <w:rPr>
          <w:b/>
          <w:lang w:val="de-DE"/>
        </w:rPr>
        <w:t xml:space="preserve"> Gesetz über die Begründung von Entlassungen und offensichtlich unangemessenen Entlassungen von Vertragsbediensteten im öffentlichen Sektor</w:t>
      </w:r>
    </w:p>
    <w:p w14:paraId="39CC25B8" w14:textId="77777777" w:rsidR="00233F36" w:rsidRPr="00C80000" w:rsidRDefault="00233F36" w:rsidP="00127CA8">
      <w:pPr>
        <w:jc w:val="both"/>
        <w:rPr>
          <w:lang w:val="de-DE"/>
        </w:rPr>
      </w:pPr>
    </w:p>
    <w:p w14:paraId="67CFD1B1" w14:textId="77777777" w:rsidR="00233F36" w:rsidRPr="00C80000" w:rsidRDefault="00233F36">
      <w:pPr>
        <w:rPr>
          <w:lang w:val="de-DE"/>
        </w:rPr>
      </w:pPr>
    </w:p>
    <w:p w14:paraId="2AAC68F1" w14:textId="0E32370A"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471E7D">
        <w:rPr>
          <w:lang w:val="de-DE"/>
        </w:rPr>
        <w:t>20. März 2024</w:t>
      </w:r>
      <w:r w:rsidRPr="00C80000">
        <w:rPr>
          <w:lang w:val="de-DE"/>
        </w:rPr>
        <w:t>)</w:t>
      </w:r>
    </w:p>
    <w:p w14:paraId="33429FC5" w14:textId="77777777" w:rsidR="00233F36" w:rsidRPr="00127CA8" w:rsidRDefault="00233F36" w:rsidP="000F5F44">
      <w:pPr>
        <w:jc w:val="center"/>
        <w:rPr>
          <w:lang w:val="de-DE"/>
        </w:rPr>
      </w:pPr>
    </w:p>
    <w:p w14:paraId="1DF82794" w14:textId="77777777" w:rsidR="00233F36" w:rsidRPr="00C80000" w:rsidRDefault="00233F36" w:rsidP="00CA081B">
      <w:pPr>
        <w:jc w:val="center"/>
        <w:rPr>
          <w:lang w:val="de-DE"/>
        </w:rPr>
      </w:pPr>
    </w:p>
    <w:p w14:paraId="54131887"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7BA0E2FC" w14:textId="77777777" w:rsidR="00E1687C" w:rsidRDefault="00E1687C" w:rsidP="00CA081B">
      <w:pPr>
        <w:jc w:val="both"/>
        <w:rPr>
          <w:lang w:val="de-DE"/>
        </w:rPr>
      </w:pPr>
    </w:p>
    <w:p w14:paraId="6630C59F" w14:textId="77777777" w:rsidR="00E1687C" w:rsidRPr="00C80000" w:rsidRDefault="00E1687C" w:rsidP="00CA081B">
      <w:pPr>
        <w:jc w:val="both"/>
        <w:rPr>
          <w:lang w:val="de-DE"/>
        </w:rPr>
      </w:pPr>
    </w:p>
    <w:p w14:paraId="781A4A23"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467D82E0" w14:textId="77777777" w:rsidR="00471E7D" w:rsidRPr="00471E7D" w:rsidRDefault="00471E7D" w:rsidP="00905050">
      <w:pPr>
        <w:jc w:val="center"/>
        <w:rPr>
          <w:b/>
          <w:bCs/>
          <w:lang w:val="de-DE"/>
        </w:rPr>
      </w:pPr>
      <w:r w:rsidRPr="00471E7D">
        <w:rPr>
          <w:b/>
          <w:lang w:val="de-DE"/>
        </w:rPr>
        <w:lastRenderedPageBreak/>
        <w:t>FÖDERALER ÖFFENTLICHER DIENST POLITIK UND UNTERSTÜTZUNG</w:t>
      </w:r>
    </w:p>
    <w:p w14:paraId="58129CD2" w14:textId="77777777" w:rsidR="00471E7D" w:rsidRPr="00471E7D" w:rsidRDefault="00471E7D" w:rsidP="00905050">
      <w:pPr>
        <w:jc w:val="both"/>
        <w:rPr>
          <w:szCs w:val="22"/>
          <w:lang w:val="de-DE"/>
        </w:rPr>
      </w:pPr>
    </w:p>
    <w:p w14:paraId="5D170F23" w14:textId="77777777" w:rsidR="00471E7D" w:rsidRPr="00471E7D" w:rsidRDefault="00471E7D" w:rsidP="00905050">
      <w:pPr>
        <w:jc w:val="both"/>
        <w:rPr>
          <w:szCs w:val="22"/>
          <w:lang w:val="de-DE"/>
        </w:rPr>
      </w:pPr>
    </w:p>
    <w:p w14:paraId="58AC8C4D" w14:textId="77777777" w:rsidR="00471E7D" w:rsidRPr="00471E7D" w:rsidRDefault="00471E7D" w:rsidP="00905050">
      <w:pPr>
        <w:jc w:val="center"/>
        <w:rPr>
          <w:b/>
          <w:bCs/>
          <w:lang w:val="de-DE"/>
        </w:rPr>
      </w:pPr>
      <w:r w:rsidRPr="00471E7D">
        <w:rPr>
          <w:b/>
          <w:bCs/>
          <w:lang w:val="de-DE"/>
        </w:rPr>
        <w:t>13. MÄRZ 2024 -</w:t>
      </w:r>
      <w:r w:rsidRPr="00471E7D">
        <w:rPr>
          <w:b/>
          <w:lang w:val="de-DE"/>
        </w:rPr>
        <w:t xml:space="preserve"> Gesetz über die Begründung von Entlassungen und offensichtlich unangemessenen Entlassungen von Vertragsbediensteten im öffentlichen Sektor</w:t>
      </w:r>
    </w:p>
    <w:p w14:paraId="6E8F56F6" w14:textId="77777777" w:rsidR="00471E7D" w:rsidRPr="00471E7D" w:rsidRDefault="00471E7D" w:rsidP="00905050">
      <w:pPr>
        <w:jc w:val="both"/>
        <w:rPr>
          <w:szCs w:val="22"/>
          <w:lang w:val="de-DE"/>
        </w:rPr>
      </w:pPr>
    </w:p>
    <w:p w14:paraId="0C081847" w14:textId="77777777" w:rsidR="00471E7D" w:rsidRPr="00471E7D" w:rsidRDefault="00471E7D" w:rsidP="00905050">
      <w:pPr>
        <w:jc w:val="both"/>
        <w:rPr>
          <w:szCs w:val="22"/>
          <w:lang w:val="de-DE"/>
        </w:rPr>
      </w:pPr>
    </w:p>
    <w:p w14:paraId="2D98077A" w14:textId="77777777" w:rsidR="00471E7D" w:rsidRPr="00471E7D" w:rsidRDefault="00471E7D" w:rsidP="00905050">
      <w:pPr>
        <w:jc w:val="both"/>
        <w:rPr>
          <w:lang w:val="de-DE"/>
        </w:rPr>
      </w:pPr>
      <w:r w:rsidRPr="00471E7D">
        <w:rPr>
          <w:lang w:val="de-DE"/>
        </w:rPr>
        <w:tab/>
      </w:r>
      <w:r w:rsidRPr="00471E7D">
        <w:rPr>
          <w:lang w:val="de-DE"/>
        </w:rPr>
        <w:tab/>
      </w:r>
      <w:r w:rsidRPr="00471E7D">
        <w:rPr>
          <w:lang w:val="de-DE"/>
        </w:rPr>
        <w:tab/>
        <w:t>PHILIPPE, König der Belgier,</w:t>
      </w:r>
    </w:p>
    <w:p w14:paraId="3C63A930" w14:textId="77777777" w:rsidR="00471E7D" w:rsidRPr="00471E7D" w:rsidRDefault="00471E7D" w:rsidP="00905050">
      <w:pPr>
        <w:jc w:val="both"/>
        <w:rPr>
          <w:szCs w:val="22"/>
          <w:lang w:val="de-DE"/>
        </w:rPr>
      </w:pPr>
    </w:p>
    <w:p w14:paraId="565E766B" w14:textId="77777777" w:rsidR="00471E7D" w:rsidRPr="00471E7D" w:rsidRDefault="00471E7D" w:rsidP="00905050">
      <w:pPr>
        <w:jc w:val="both"/>
        <w:rPr>
          <w:lang w:val="de-DE"/>
        </w:rPr>
      </w:pPr>
      <w:r w:rsidRPr="00471E7D">
        <w:rPr>
          <w:lang w:val="de-DE"/>
        </w:rPr>
        <w:tab/>
      </w:r>
      <w:r w:rsidRPr="00471E7D">
        <w:rPr>
          <w:lang w:val="de-DE"/>
        </w:rPr>
        <w:tab/>
        <w:t xml:space="preserve">Allen Gegenwärtigen und </w:t>
      </w:r>
      <w:proofErr w:type="spellStart"/>
      <w:r w:rsidRPr="00471E7D">
        <w:rPr>
          <w:lang w:val="de-DE"/>
        </w:rPr>
        <w:t>Zukünftigen</w:t>
      </w:r>
      <w:proofErr w:type="spellEnd"/>
      <w:r w:rsidRPr="00471E7D">
        <w:rPr>
          <w:lang w:val="de-DE"/>
        </w:rPr>
        <w:t>, Unser Gruß!</w:t>
      </w:r>
    </w:p>
    <w:p w14:paraId="00F1DADD" w14:textId="77777777" w:rsidR="00471E7D" w:rsidRPr="00471E7D" w:rsidRDefault="00471E7D" w:rsidP="00905050">
      <w:pPr>
        <w:jc w:val="both"/>
        <w:rPr>
          <w:szCs w:val="22"/>
          <w:lang w:val="de-DE"/>
        </w:rPr>
      </w:pPr>
    </w:p>
    <w:p w14:paraId="59660AA7" w14:textId="77777777" w:rsidR="00471E7D" w:rsidRPr="00471E7D" w:rsidRDefault="00471E7D" w:rsidP="00905050">
      <w:pPr>
        <w:jc w:val="both"/>
        <w:rPr>
          <w:szCs w:val="22"/>
          <w:lang w:val="de-DE"/>
        </w:rPr>
      </w:pPr>
    </w:p>
    <w:p w14:paraId="3AB3959E" w14:textId="77777777" w:rsidR="00471E7D" w:rsidRPr="00471E7D" w:rsidRDefault="00471E7D" w:rsidP="00905050">
      <w:pPr>
        <w:jc w:val="both"/>
        <w:rPr>
          <w:lang w:val="de-DE"/>
        </w:rPr>
      </w:pPr>
      <w:r w:rsidRPr="00471E7D">
        <w:rPr>
          <w:lang w:val="de-DE"/>
        </w:rPr>
        <w:tab/>
        <w:t>Die Abgeordnetenkammer hat das Folgende angenommen und Wir sanktionieren es:</w:t>
      </w:r>
    </w:p>
    <w:p w14:paraId="167F9163" w14:textId="77777777" w:rsidR="00471E7D" w:rsidRPr="00471E7D" w:rsidRDefault="00471E7D" w:rsidP="00905050">
      <w:pPr>
        <w:jc w:val="both"/>
        <w:rPr>
          <w:szCs w:val="22"/>
          <w:lang w:val="de-DE"/>
        </w:rPr>
      </w:pPr>
    </w:p>
    <w:p w14:paraId="36F94547" w14:textId="77777777" w:rsidR="00471E7D" w:rsidRPr="00471E7D" w:rsidRDefault="00471E7D" w:rsidP="00905050">
      <w:pPr>
        <w:jc w:val="both"/>
        <w:rPr>
          <w:szCs w:val="22"/>
          <w:lang w:val="de-DE"/>
        </w:rPr>
      </w:pPr>
    </w:p>
    <w:p w14:paraId="13E3851E" w14:textId="77777777" w:rsidR="00471E7D" w:rsidRPr="00471E7D" w:rsidRDefault="00471E7D" w:rsidP="00905050">
      <w:pPr>
        <w:jc w:val="both"/>
        <w:rPr>
          <w:lang w:val="de-DE"/>
        </w:rPr>
      </w:pPr>
      <w:r w:rsidRPr="00471E7D">
        <w:rPr>
          <w:lang w:val="de-DE"/>
        </w:rPr>
        <w:tab/>
      </w:r>
      <w:r w:rsidRPr="00471E7D">
        <w:rPr>
          <w:b/>
          <w:bCs/>
          <w:lang w:val="de-DE"/>
        </w:rPr>
        <w:t>Artikel 1 -</w:t>
      </w:r>
      <w:r w:rsidRPr="00471E7D">
        <w:rPr>
          <w:lang w:val="de-DE"/>
        </w:rPr>
        <w:t xml:space="preserve"> Vorliegendes Gesetz regelt eine in Artikel 74 der Verfassung erwähnte Angelegenheit.</w:t>
      </w:r>
    </w:p>
    <w:p w14:paraId="1A769EF3" w14:textId="77777777" w:rsidR="00471E7D" w:rsidRPr="00471E7D" w:rsidRDefault="00471E7D" w:rsidP="00905050">
      <w:pPr>
        <w:jc w:val="both"/>
        <w:rPr>
          <w:szCs w:val="22"/>
          <w:lang w:val="de-DE"/>
        </w:rPr>
      </w:pPr>
    </w:p>
    <w:p w14:paraId="53BC9BF4" w14:textId="77777777" w:rsidR="00471E7D" w:rsidRPr="00471E7D" w:rsidRDefault="00471E7D" w:rsidP="00905050">
      <w:pPr>
        <w:jc w:val="both"/>
        <w:rPr>
          <w:szCs w:val="22"/>
          <w:lang w:val="de-DE"/>
        </w:rPr>
      </w:pPr>
    </w:p>
    <w:p w14:paraId="05B7CB04" w14:textId="77777777" w:rsidR="00471E7D" w:rsidRPr="00471E7D" w:rsidRDefault="00471E7D" w:rsidP="00905050">
      <w:pPr>
        <w:jc w:val="both"/>
        <w:rPr>
          <w:lang w:val="de-DE"/>
        </w:rPr>
      </w:pPr>
      <w:r w:rsidRPr="00471E7D">
        <w:rPr>
          <w:lang w:val="de-DE"/>
        </w:rPr>
        <w:tab/>
      </w:r>
      <w:r w:rsidRPr="00471E7D">
        <w:rPr>
          <w:b/>
          <w:lang w:val="de-DE"/>
        </w:rPr>
        <w:t>Art. 2 -</w:t>
      </w:r>
      <w:r w:rsidRPr="00471E7D">
        <w:rPr>
          <w:lang w:val="de-DE"/>
        </w:rPr>
        <w:t xml:space="preserve"> § 1 - Vorliegendes Gesetz findet Anwendung auf die im Rahmen eines Arbeits</w:t>
      </w:r>
      <w:r w:rsidRPr="00471E7D">
        <w:rPr>
          <w:lang w:val="de-DE"/>
        </w:rPr>
        <w:softHyphen/>
        <w:t>vertrags beschäftigten Arbeitnehmer, deren Arbeitgeber nicht in den Anwendungsbereich des Gesetzes vom 5. Dezember 1968 über die kollektiven Arbeitsabkommen und die paritätischen Kommissionen fällt.</w:t>
      </w:r>
    </w:p>
    <w:p w14:paraId="76F41717" w14:textId="77777777" w:rsidR="00471E7D" w:rsidRPr="00471E7D" w:rsidRDefault="00471E7D" w:rsidP="00905050">
      <w:pPr>
        <w:jc w:val="both"/>
        <w:rPr>
          <w:szCs w:val="22"/>
          <w:lang w:val="de-DE"/>
        </w:rPr>
      </w:pPr>
    </w:p>
    <w:p w14:paraId="0D26C7DE" w14:textId="77777777" w:rsidR="00471E7D" w:rsidRPr="00471E7D" w:rsidRDefault="00471E7D" w:rsidP="00905050">
      <w:pPr>
        <w:jc w:val="both"/>
        <w:rPr>
          <w:lang w:val="de-DE"/>
        </w:rPr>
      </w:pPr>
      <w:r w:rsidRPr="00471E7D">
        <w:rPr>
          <w:lang w:val="de-DE"/>
        </w:rPr>
        <w:tab/>
        <w:t>§ 2 -</w:t>
      </w:r>
      <w:r w:rsidRPr="00471E7D">
        <w:rPr>
          <w:sz w:val="20"/>
          <w:szCs w:val="20"/>
          <w:lang w:val="de-DE"/>
        </w:rPr>
        <w:t xml:space="preserve"> </w:t>
      </w:r>
      <w:r w:rsidRPr="00471E7D">
        <w:rPr>
          <w:lang w:val="de-DE"/>
        </w:rPr>
        <w:t>Vorliegendes</w:t>
      </w:r>
      <w:r w:rsidRPr="00471E7D">
        <w:rPr>
          <w:sz w:val="20"/>
          <w:szCs w:val="20"/>
          <w:lang w:val="de-DE"/>
        </w:rPr>
        <w:t xml:space="preserve"> </w:t>
      </w:r>
      <w:r w:rsidRPr="00471E7D">
        <w:rPr>
          <w:lang w:val="de-DE"/>
        </w:rPr>
        <w:t>Gesetz</w:t>
      </w:r>
      <w:r w:rsidRPr="00471E7D">
        <w:rPr>
          <w:sz w:val="20"/>
          <w:szCs w:val="20"/>
          <w:lang w:val="de-DE"/>
        </w:rPr>
        <w:t xml:space="preserve"> </w:t>
      </w:r>
      <w:r w:rsidRPr="00471E7D">
        <w:rPr>
          <w:lang w:val="de-DE"/>
        </w:rPr>
        <w:t>findet</w:t>
      </w:r>
      <w:r w:rsidRPr="00471E7D">
        <w:rPr>
          <w:sz w:val="20"/>
          <w:szCs w:val="20"/>
          <w:lang w:val="de-DE"/>
        </w:rPr>
        <w:t xml:space="preserve"> </w:t>
      </w:r>
      <w:r w:rsidRPr="00471E7D">
        <w:rPr>
          <w:lang w:val="de-DE"/>
        </w:rPr>
        <w:t>jedoch</w:t>
      </w:r>
      <w:r w:rsidRPr="00471E7D">
        <w:rPr>
          <w:sz w:val="20"/>
          <w:szCs w:val="20"/>
          <w:lang w:val="de-DE"/>
        </w:rPr>
        <w:t xml:space="preserve"> </w:t>
      </w:r>
      <w:r w:rsidRPr="00471E7D">
        <w:rPr>
          <w:lang w:val="de-DE"/>
        </w:rPr>
        <w:t>keine</w:t>
      </w:r>
      <w:r w:rsidRPr="00471E7D">
        <w:rPr>
          <w:sz w:val="20"/>
          <w:szCs w:val="20"/>
          <w:lang w:val="de-DE"/>
        </w:rPr>
        <w:t xml:space="preserve"> </w:t>
      </w:r>
      <w:r w:rsidRPr="00471E7D">
        <w:rPr>
          <w:lang w:val="de-DE"/>
        </w:rPr>
        <w:t>Anwendung,</w:t>
      </w:r>
      <w:r w:rsidRPr="00471E7D">
        <w:rPr>
          <w:sz w:val="18"/>
          <w:szCs w:val="18"/>
          <w:lang w:val="de-DE"/>
        </w:rPr>
        <w:t xml:space="preserve"> </w:t>
      </w:r>
      <w:r w:rsidRPr="00471E7D">
        <w:rPr>
          <w:lang w:val="de-DE"/>
        </w:rPr>
        <w:t>wenn</w:t>
      </w:r>
      <w:r w:rsidRPr="00471E7D">
        <w:rPr>
          <w:sz w:val="20"/>
          <w:szCs w:val="20"/>
          <w:lang w:val="de-DE"/>
        </w:rPr>
        <w:t xml:space="preserve"> </w:t>
      </w:r>
      <w:r w:rsidRPr="00471E7D">
        <w:rPr>
          <w:lang w:val="de-DE"/>
        </w:rPr>
        <w:t>die</w:t>
      </w:r>
      <w:r w:rsidRPr="00471E7D">
        <w:rPr>
          <w:sz w:val="20"/>
          <w:szCs w:val="20"/>
          <w:lang w:val="de-DE"/>
        </w:rPr>
        <w:t xml:space="preserve"> </w:t>
      </w:r>
      <w:r w:rsidRPr="00471E7D">
        <w:rPr>
          <w:lang w:val="de-DE"/>
        </w:rPr>
        <w:t>betreffenden</w:t>
      </w:r>
      <w:r w:rsidRPr="00471E7D">
        <w:rPr>
          <w:sz w:val="18"/>
          <w:szCs w:val="18"/>
          <w:lang w:val="de-DE"/>
        </w:rPr>
        <w:t xml:space="preserve"> </w:t>
      </w:r>
      <w:r w:rsidRPr="00471E7D">
        <w:rPr>
          <w:lang w:val="de-DE"/>
        </w:rPr>
        <w:t>Arbeit</w:t>
      </w:r>
      <w:r w:rsidRPr="00471E7D">
        <w:rPr>
          <w:lang w:val="de-DE"/>
        </w:rPr>
        <w:softHyphen/>
        <w:t>nehmer entlassen werden:</w:t>
      </w:r>
    </w:p>
    <w:p w14:paraId="23CE4287" w14:textId="77777777" w:rsidR="00471E7D" w:rsidRPr="00471E7D" w:rsidRDefault="00471E7D" w:rsidP="00905050">
      <w:pPr>
        <w:jc w:val="both"/>
        <w:rPr>
          <w:szCs w:val="22"/>
          <w:lang w:val="de-DE"/>
        </w:rPr>
      </w:pPr>
    </w:p>
    <w:p w14:paraId="3ADAF555" w14:textId="77777777" w:rsidR="00471E7D" w:rsidRPr="00471E7D" w:rsidRDefault="00471E7D" w:rsidP="00905050">
      <w:pPr>
        <w:jc w:val="both"/>
        <w:rPr>
          <w:lang w:val="de-DE"/>
        </w:rPr>
      </w:pPr>
      <w:r w:rsidRPr="00471E7D">
        <w:rPr>
          <w:lang w:val="de-DE"/>
        </w:rPr>
        <w:tab/>
        <w:t>1. während der ersten sechs Monate der Beschäftigung, wobei für die Berechnung der ersten sechs Monate der Beschäftigung aufeinanderfolgende frühere befristete Arbeitsverträge oder Leiharbeitsverträge für die gleiche Funktion beim selben Arbeitgeber berücksichtigt werden,</w:t>
      </w:r>
    </w:p>
    <w:p w14:paraId="7D0291DF" w14:textId="77777777" w:rsidR="00471E7D" w:rsidRPr="00471E7D" w:rsidRDefault="00471E7D" w:rsidP="00905050">
      <w:pPr>
        <w:jc w:val="both"/>
        <w:rPr>
          <w:szCs w:val="22"/>
          <w:lang w:val="de-DE"/>
        </w:rPr>
      </w:pPr>
    </w:p>
    <w:p w14:paraId="66A3099A" w14:textId="77777777" w:rsidR="00471E7D" w:rsidRPr="00471E7D" w:rsidRDefault="00471E7D" w:rsidP="00905050">
      <w:pPr>
        <w:jc w:val="both"/>
        <w:rPr>
          <w:lang w:val="de-DE"/>
        </w:rPr>
      </w:pPr>
      <w:r w:rsidRPr="00471E7D">
        <w:rPr>
          <w:lang w:val="de-DE"/>
        </w:rPr>
        <w:tab/>
        <w:t>2. während eines Leiharbeitsvertrags,</w:t>
      </w:r>
    </w:p>
    <w:p w14:paraId="17B440E0" w14:textId="77777777" w:rsidR="00471E7D" w:rsidRPr="00471E7D" w:rsidRDefault="00471E7D" w:rsidP="00905050">
      <w:pPr>
        <w:jc w:val="both"/>
        <w:rPr>
          <w:szCs w:val="22"/>
          <w:lang w:val="de-DE"/>
        </w:rPr>
      </w:pPr>
    </w:p>
    <w:p w14:paraId="79298260" w14:textId="77777777" w:rsidR="00471E7D" w:rsidRPr="00471E7D" w:rsidRDefault="00471E7D" w:rsidP="00905050">
      <w:pPr>
        <w:jc w:val="both"/>
        <w:rPr>
          <w:lang w:val="de-DE"/>
        </w:rPr>
      </w:pPr>
      <w:r w:rsidRPr="00471E7D">
        <w:rPr>
          <w:lang w:val="de-DE"/>
        </w:rPr>
        <w:tab/>
        <w:t>3. während eines Beschäftigungsvertrags für Studenten,</w:t>
      </w:r>
    </w:p>
    <w:p w14:paraId="487B9522" w14:textId="77777777" w:rsidR="00471E7D" w:rsidRPr="00471E7D" w:rsidRDefault="00471E7D" w:rsidP="00905050">
      <w:pPr>
        <w:jc w:val="both"/>
        <w:rPr>
          <w:szCs w:val="22"/>
          <w:lang w:val="de-DE"/>
        </w:rPr>
      </w:pPr>
    </w:p>
    <w:p w14:paraId="481527B9" w14:textId="77777777" w:rsidR="00471E7D" w:rsidRPr="00471E7D" w:rsidRDefault="00471E7D" w:rsidP="00905050">
      <w:pPr>
        <w:jc w:val="both"/>
        <w:rPr>
          <w:lang w:val="de-DE"/>
        </w:rPr>
      </w:pPr>
      <w:r w:rsidRPr="00471E7D">
        <w:rPr>
          <w:lang w:val="de-DE"/>
        </w:rPr>
        <w:tab/>
        <w:t>4. um den unbefristeten Arbeitsvertrag ab dem ersten Tag des Monats nach dem Monat, in dem der Arbeitnehmer das gesetzliche Pensionsalter erreicht, zu beenden.</w:t>
      </w:r>
    </w:p>
    <w:p w14:paraId="6EA1AD09" w14:textId="77777777" w:rsidR="00471E7D" w:rsidRPr="00471E7D" w:rsidRDefault="00471E7D" w:rsidP="00905050">
      <w:pPr>
        <w:jc w:val="both"/>
        <w:rPr>
          <w:szCs w:val="22"/>
          <w:lang w:val="de-DE"/>
        </w:rPr>
      </w:pPr>
    </w:p>
    <w:p w14:paraId="4B782163" w14:textId="77777777" w:rsidR="00471E7D" w:rsidRPr="00471E7D" w:rsidRDefault="00471E7D" w:rsidP="00905050">
      <w:pPr>
        <w:jc w:val="both"/>
        <w:rPr>
          <w:lang w:val="de-DE"/>
        </w:rPr>
      </w:pPr>
      <w:r w:rsidRPr="00471E7D">
        <w:rPr>
          <w:lang w:val="de-DE"/>
        </w:rPr>
        <w:tab/>
        <w:t>Vorliegendes Gesetz findet keine Anwendung, wenn die betreffenden Arbeitnehmer aus schwerwiegenden Gründen entlassen werden.</w:t>
      </w:r>
    </w:p>
    <w:p w14:paraId="5AA5BB30" w14:textId="77777777" w:rsidR="00471E7D" w:rsidRPr="00471E7D" w:rsidRDefault="00471E7D" w:rsidP="00905050">
      <w:pPr>
        <w:jc w:val="both"/>
        <w:rPr>
          <w:szCs w:val="22"/>
          <w:lang w:val="de-DE"/>
        </w:rPr>
      </w:pPr>
    </w:p>
    <w:p w14:paraId="230B13AE" w14:textId="77777777" w:rsidR="00471E7D" w:rsidRPr="00471E7D" w:rsidRDefault="00471E7D" w:rsidP="00905050">
      <w:pPr>
        <w:jc w:val="both"/>
        <w:rPr>
          <w:lang w:val="de-DE"/>
        </w:rPr>
      </w:pPr>
      <w:r w:rsidRPr="00471E7D">
        <w:rPr>
          <w:lang w:val="de-DE"/>
        </w:rPr>
        <w:tab/>
        <w:t>Vorliegendes Gesetz findet keine Anwendung auf betroffene Arbeitnehmer, die Gegen</w:t>
      </w:r>
      <w:r w:rsidRPr="00471E7D">
        <w:rPr>
          <w:lang w:val="de-DE"/>
        </w:rPr>
        <w:softHyphen/>
        <w:t>stand einer Entlassung sind, für die der Arbeitgeber ein besonderes, durch oder aufgrund einer Gesetzesnorm festgelegtes Kündigungsverfahren einhalten muss.</w:t>
      </w:r>
    </w:p>
    <w:p w14:paraId="7AFEBB9F" w14:textId="77777777" w:rsidR="00471E7D" w:rsidRPr="00471E7D" w:rsidRDefault="00471E7D" w:rsidP="00905050">
      <w:pPr>
        <w:jc w:val="both"/>
        <w:rPr>
          <w:szCs w:val="22"/>
          <w:lang w:val="de-DE"/>
        </w:rPr>
      </w:pPr>
    </w:p>
    <w:p w14:paraId="1970B28F" w14:textId="77777777" w:rsidR="00471E7D" w:rsidRPr="00471E7D" w:rsidRDefault="00471E7D" w:rsidP="00905050">
      <w:pPr>
        <w:jc w:val="both"/>
        <w:rPr>
          <w:szCs w:val="22"/>
          <w:lang w:val="de-DE"/>
        </w:rPr>
      </w:pPr>
    </w:p>
    <w:p w14:paraId="2C6EFC23" w14:textId="77777777" w:rsidR="00471E7D" w:rsidRDefault="00471E7D">
      <w:pPr>
        <w:rPr>
          <w:lang w:val="de-DE"/>
        </w:rPr>
      </w:pPr>
      <w:r>
        <w:rPr>
          <w:lang w:val="de-DE"/>
        </w:rPr>
        <w:br w:type="page"/>
      </w:r>
    </w:p>
    <w:p w14:paraId="137ECBBA" w14:textId="223D8048" w:rsidR="00471E7D" w:rsidRPr="00471E7D" w:rsidRDefault="00471E7D" w:rsidP="00905050">
      <w:pPr>
        <w:jc w:val="both"/>
        <w:rPr>
          <w:lang w:val="de-DE"/>
        </w:rPr>
      </w:pPr>
      <w:r w:rsidRPr="00471E7D">
        <w:rPr>
          <w:lang w:val="de-DE"/>
        </w:rPr>
        <w:lastRenderedPageBreak/>
        <w:tab/>
      </w:r>
      <w:r w:rsidRPr="00471E7D">
        <w:rPr>
          <w:b/>
          <w:lang w:val="de-DE"/>
        </w:rPr>
        <w:t>Art. 3 -</w:t>
      </w:r>
      <w:r w:rsidRPr="00471E7D">
        <w:rPr>
          <w:lang w:val="de-DE"/>
        </w:rPr>
        <w:t xml:space="preserve"> Ein Arbeitgeber, der beabsichtigt, einen Arbeitnehmer aus Gründen im Zusam</w:t>
      </w:r>
      <w:r w:rsidRPr="00471E7D">
        <w:rPr>
          <w:lang w:val="de-DE"/>
        </w:rPr>
        <w:softHyphen/>
        <w:t>menhang mit dessen Person oder Verhalten zu entlassen, lädt ihn zu einer vorherigen Anhörung ein und nimmt seine Erläuterungen zu den Sachverhalten und Gründen für die beabsichtigte Entscheidung entgegen, die dem Arbeitnehmer zuvor mitgeteilt wurden, wobei ihm ausreichend Zeit zur Vorbereitung seiner Anhörung oder zur schriftlichen Formulierung seiner Bemerkun</w:t>
      </w:r>
      <w:r w:rsidRPr="00471E7D">
        <w:rPr>
          <w:lang w:val="de-DE"/>
        </w:rPr>
        <w:softHyphen/>
        <w:t>gen eingeräumt wird.</w:t>
      </w:r>
    </w:p>
    <w:p w14:paraId="025A65C2" w14:textId="77777777" w:rsidR="00471E7D" w:rsidRPr="00471E7D" w:rsidRDefault="00471E7D" w:rsidP="00905050">
      <w:pPr>
        <w:jc w:val="both"/>
        <w:rPr>
          <w:szCs w:val="22"/>
          <w:lang w:val="de-DE"/>
        </w:rPr>
      </w:pPr>
    </w:p>
    <w:p w14:paraId="60FE6604" w14:textId="77777777" w:rsidR="00471E7D" w:rsidRPr="00471E7D" w:rsidRDefault="00471E7D" w:rsidP="00905050">
      <w:pPr>
        <w:jc w:val="both"/>
        <w:rPr>
          <w:lang w:val="de-DE"/>
        </w:rPr>
      </w:pPr>
      <w:r w:rsidRPr="00471E7D">
        <w:rPr>
          <w:lang w:val="de-DE"/>
        </w:rPr>
        <w:tab/>
        <w:t>Entscheidet der Arbeitgeber nach der vorherigen Anhörung, den Arbeitnehmer zu entlassen, erfolgt die Notifizierung der Entlassung schriftlich und unter Angabe der konkreten Gründe für die Entlassung.</w:t>
      </w:r>
    </w:p>
    <w:p w14:paraId="1A9C9D8C" w14:textId="77777777" w:rsidR="00471E7D" w:rsidRPr="00471E7D" w:rsidRDefault="00471E7D" w:rsidP="00905050">
      <w:pPr>
        <w:jc w:val="both"/>
        <w:rPr>
          <w:szCs w:val="22"/>
          <w:lang w:val="de-DE"/>
        </w:rPr>
      </w:pPr>
    </w:p>
    <w:p w14:paraId="0554B22B" w14:textId="77777777" w:rsidR="00471E7D" w:rsidRPr="00471E7D" w:rsidRDefault="00471E7D" w:rsidP="00905050">
      <w:pPr>
        <w:jc w:val="both"/>
        <w:rPr>
          <w:lang w:val="de-DE"/>
        </w:rPr>
      </w:pPr>
      <w:r w:rsidRPr="00471E7D">
        <w:rPr>
          <w:lang w:val="de-DE"/>
        </w:rPr>
        <w:tab/>
        <w:t>Diese schriftliche Notifizierung enthält die Elemente, die es dem Arbeitnehmer ermög</w:t>
      </w:r>
      <w:r w:rsidRPr="00471E7D">
        <w:rPr>
          <w:lang w:val="de-DE"/>
        </w:rPr>
        <w:softHyphen/>
        <w:t>lichen, die konkreten Gründe für seine Entlassung zu erfahren.</w:t>
      </w:r>
    </w:p>
    <w:p w14:paraId="1D43D8D7" w14:textId="77777777" w:rsidR="00471E7D" w:rsidRPr="00471E7D" w:rsidRDefault="00471E7D" w:rsidP="00905050">
      <w:pPr>
        <w:jc w:val="both"/>
        <w:rPr>
          <w:szCs w:val="22"/>
          <w:lang w:val="de-DE"/>
        </w:rPr>
      </w:pPr>
    </w:p>
    <w:p w14:paraId="4EE272F1" w14:textId="77777777" w:rsidR="00471E7D" w:rsidRPr="00471E7D" w:rsidRDefault="00471E7D" w:rsidP="00905050">
      <w:pPr>
        <w:jc w:val="both"/>
        <w:rPr>
          <w:lang w:val="de-DE"/>
        </w:rPr>
      </w:pPr>
      <w:r w:rsidRPr="00471E7D">
        <w:rPr>
          <w:lang w:val="de-DE"/>
        </w:rPr>
        <w:tab/>
        <w:t>Versäumt es der Arbeitgeber, den Arbeitnehmer vorher anzuhören oder ihm die konkre</w:t>
      </w:r>
      <w:r w:rsidRPr="00471E7D">
        <w:rPr>
          <w:lang w:val="de-DE"/>
        </w:rPr>
        <w:softHyphen/>
        <w:t>ten Gründe mitzuteilen, die zur Entlassung des Arbeitnehmers geführt haben, schuldet er ihm eine Entschädigung in Höhe von zwei Wochen Entlohnung. In diesem Fall bleibt die Notifizie</w:t>
      </w:r>
      <w:r w:rsidRPr="00471E7D">
        <w:rPr>
          <w:lang w:val="de-DE"/>
        </w:rPr>
        <w:softHyphen/>
        <w:t>rung der Kündigung gültig.</w:t>
      </w:r>
    </w:p>
    <w:p w14:paraId="6060624A" w14:textId="77777777" w:rsidR="00471E7D" w:rsidRPr="00471E7D" w:rsidRDefault="00471E7D" w:rsidP="00905050">
      <w:pPr>
        <w:jc w:val="both"/>
        <w:rPr>
          <w:szCs w:val="22"/>
          <w:lang w:val="de-DE"/>
        </w:rPr>
      </w:pPr>
    </w:p>
    <w:p w14:paraId="6CA78972" w14:textId="77777777" w:rsidR="00471E7D" w:rsidRPr="00471E7D" w:rsidRDefault="00471E7D" w:rsidP="00905050">
      <w:pPr>
        <w:jc w:val="both"/>
        <w:rPr>
          <w:szCs w:val="22"/>
          <w:lang w:val="de-DE"/>
        </w:rPr>
      </w:pPr>
    </w:p>
    <w:p w14:paraId="7250CF13" w14:textId="77777777" w:rsidR="00471E7D" w:rsidRPr="00471E7D" w:rsidRDefault="00471E7D" w:rsidP="00905050">
      <w:pPr>
        <w:jc w:val="both"/>
        <w:rPr>
          <w:lang w:val="de-DE"/>
        </w:rPr>
      </w:pPr>
      <w:r w:rsidRPr="00471E7D">
        <w:rPr>
          <w:lang w:val="de-DE"/>
        </w:rPr>
        <w:tab/>
      </w:r>
      <w:r w:rsidRPr="00471E7D">
        <w:rPr>
          <w:b/>
          <w:lang w:val="de-DE"/>
        </w:rPr>
        <w:t>Art. 4 -</w:t>
      </w:r>
      <w:r w:rsidRPr="00471E7D">
        <w:rPr>
          <w:lang w:val="de-DE"/>
        </w:rPr>
        <w:t xml:space="preserve"> Eine offensichtlich unangemessene Entlassung ist die Entlassung eines unbe</w:t>
      </w:r>
      <w:r w:rsidRPr="00471E7D">
        <w:rPr>
          <w:lang w:val="de-DE"/>
        </w:rPr>
        <w:softHyphen/>
        <w:t>fristet beschäftigten Arbeitnehmers aus Gründen, die weder mit der Eignung oder dem Verhal</w:t>
      </w:r>
      <w:r w:rsidRPr="00471E7D">
        <w:rPr>
          <w:lang w:val="de-DE"/>
        </w:rPr>
        <w:softHyphen/>
        <w:t>ten des Arbeitnehmers in Zusammenhang stehen noch auf den Erfordernissen der Arbeitsweise des Unternehmens, der Einrichtung oder des Dienstes beruhen und die von einem normalen und vernünftigen Arbeitgeber niemals beschlossen worden wäre.</w:t>
      </w:r>
    </w:p>
    <w:p w14:paraId="21250510" w14:textId="77777777" w:rsidR="00471E7D" w:rsidRPr="00471E7D" w:rsidRDefault="00471E7D" w:rsidP="00905050">
      <w:pPr>
        <w:jc w:val="both"/>
        <w:rPr>
          <w:szCs w:val="22"/>
          <w:lang w:val="de-DE"/>
        </w:rPr>
      </w:pPr>
    </w:p>
    <w:p w14:paraId="244005B7" w14:textId="77777777" w:rsidR="00471E7D" w:rsidRPr="00471E7D" w:rsidRDefault="00471E7D" w:rsidP="00905050">
      <w:pPr>
        <w:jc w:val="both"/>
        <w:rPr>
          <w:lang w:val="de-DE"/>
        </w:rPr>
      </w:pPr>
      <w:r w:rsidRPr="00471E7D">
        <w:rPr>
          <w:lang w:val="de-DE"/>
        </w:rPr>
        <w:tab/>
        <w:t>Im Fall einer offensichtlich unangemessenen Entlassung schuldet der Arbeitgeber dem Arbeitnehmer eine Entschädigung.</w:t>
      </w:r>
    </w:p>
    <w:p w14:paraId="4727FB39" w14:textId="77777777" w:rsidR="00471E7D" w:rsidRPr="00471E7D" w:rsidRDefault="00471E7D" w:rsidP="00905050">
      <w:pPr>
        <w:jc w:val="both"/>
        <w:rPr>
          <w:szCs w:val="22"/>
          <w:lang w:val="de-DE"/>
        </w:rPr>
      </w:pPr>
    </w:p>
    <w:p w14:paraId="63DD86F5" w14:textId="77777777" w:rsidR="00471E7D" w:rsidRPr="00471E7D" w:rsidRDefault="00471E7D" w:rsidP="00905050">
      <w:pPr>
        <w:jc w:val="both"/>
        <w:rPr>
          <w:lang w:val="de-DE"/>
        </w:rPr>
      </w:pPr>
      <w:r w:rsidRPr="00471E7D">
        <w:rPr>
          <w:lang w:val="de-DE"/>
        </w:rPr>
        <w:tab/>
        <w:t>Diese Entschädigung entspricht mindestens drei und höchstens siebzehn Wochen Ent</w:t>
      </w:r>
      <w:r w:rsidRPr="00471E7D">
        <w:rPr>
          <w:lang w:val="de-DE"/>
        </w:rPr>
        <w:softHyphen/>
        <w:t>lohnung. Sie ist nicht kumulierbar mit anderen Entschädigungen, die im Rahmen eines beson</w:t>
      </w:r>
      <w:r w:rsidRPr="00471E7D">
        <w:rPr>
          <w:lang w:val="de-DE"/>
        </w:rPr>
        <w:softHyphen/>
        <w:t>deren Kündigungsverfahrens vorgesehen sind, mit Ausnahme der in Artikel 3 des vorliegenden Gesetzes bestimmten Entschädigung. Die Entschädigung ist nicht kumulierbar mit anderen Ent</w:t>
      </w:r>
      <w:r w:rsidRPr="00471E7D">
        <w:rPr>
          <w:lang w:val="de-DE"/>
        </w:rPr>
        <w:softHyphen/>
        <w:t>schädigungen, die der Arbeitgeber aufgrund der Beendigung des Arbeitsvertrags schuldet, mit Ausnahme</w:t>
      </w:r>
      <w:r w:rsidRPr="00471E7D">
        <w:rPr>
          <w:sz w:val="12"/>
          <w:szCs w:val="12"/>
          <w:lang w:val="de-DE"/>
        </w:rPr>
        <w:t xml:space="preserve"> </w:t>
      </w:r>
      <w:r w:rsidRPr="00471E7D">
        <w:rPr>
          <w:lang w:val="de-DE"/>
        </w:rPr>
        <w:t>einer</w:t>
      </w:r>
      <w:r w:rsidRPr="00471E7D">
        <w:rPr>
          <w:sz w:val="14"/>
          <w:szCs w:val="14"/>
          <w:lang w:val="de-DE"/>
        </w:rPr>
        <w:t xml:space="preserve"> </w:t>
      </w:r>
      <w:r w:rsidRPr="00471E7D">
        <w:rPr>
          <w:lang w:val="de-DE"/>
        </w:rPr>
        <w:t>Entlassungsentschädigung,</w:t>
      </w:r>
      <w:r w:rsidRPr="00471E7D">
        <w:rPr>
          <w:sz w:val="12"/>
          <w:szCs w:val="12"/>
          <w:lang w:val="de-DE"/>
        </w:rPr>
        <w:t xml:space="preserve"> </w:t>
      </w:r>
      <w:r w:rsidRPr="00471E7D">
        <w:rPr>
          <w:lang w:val="de-DE"/>
        </w:rPr>
        <w:t>einer</w:t>
      </w:r>
      <w:r w:rsidRPr="00471E7D">
        <w:rPr>
          <w:sz w:val="14"/>
          <w:szCs w:val="14"/>
          <w:lang w:val="de-DE"/>
        </w:rPr>
        <w:t xml:space="preserve"> </w:t>
      </w:r>
      <w:r w:rsidRPr="00471E7D">
        <w:rPr>
          <w:lang w:val="de-DE"/>
        </w:rPr>
        <w:t>Wettbewerbsverbotsentschädigung,</w:t>
      </w:r>
      <w:r w:rsidRPr="00471E7D">
        <w:rPr>
          <w:sz w:val="12"/>
          <w:szCs w:val="12"/>
          <w:lang w:val="de-DE"/>
        </w:rPr>
        <w:t xml:space="preserve"> </w:t>
      </w:r>
      <w:r w:rsidRPr="00471E7D">
        <w:rPr>
          <w:lang w:val="de-DE"/>
        </w:rPr>
        <w:t>einer</w:t>
      </w:r>
      <w:r w:rsidRPr="00471E7D">
        <w:rPr>
          <w:sz w:val="12"/>
          <w:szCs w:val="12"/>
          <w:lang w:val="de-DE"/>
        </w:rPr>
        <w:t xml:space="preserve"> </w:t>
      </w:r>
      <w:r w:rsidRPr="00471E7D">
        <w:rPr>
          <w:lang w:val="de-DE"/>
        </w:rPr>
        <w:t>Aus</w:t>
      </w:r>
      <w:r w:rsidRPr="00471E7D">
        <w:rPr>
          <w:lang w:val="de-DE"/>
        </w:rPr>
        <w:softHyphen/>
        <w:t>gleichsabfindung oder einer zusätzlich zu den Sozialleistungen gezahlten Zusatzentschädigung.</w:t>
      </w:r>
    </w:p>
    <w:p w14:paraId="448F4942" w14:textId="77777777" w:rsidR="00471E7D" w:rsidRPr="00471E7D" w:rsidRDefault="00471E7D" w:rsidP="00905050">
      <w:pPr>
        <w:jc w:val="both"/>
        <w:rPr>
          <w:szCs w:val="22"/>
          <w:lang w:val="de-DE"/>
        </w:rPr>
      </w:pPr>
    </w:p>
    <w:p w14:paraId="47FA442A" w14:textId="77777777" w:rsidR="00471E7D" w:rsidRPr="00471E7D" w:rsidRDefault="00471E7D" w:rsidP="00905050">
      <w:pPr>
        <w:jc w:val="both"/>
        <w:rPr>
          <w:lang w:val="de-DE"/>
        </w:rPr>
      </w:pPr>
      <w:r w:rsidRPr="00471E7D">
        <w:rPr>
          <w:lang w:val="de-DE"/>
        </w:rPr>
        <w:tab/>
        <w:t>Die Beweislast wird durch das allgemeine Beweisrecht gemäß Artikel 870 des Gerichts</w:t>
      </w:r>
      <w:r w:rsidRPr="00471E7D">
        <w:rPr>
          <w:lang w:val="de-DE"/>
        </w:rPr>
        <w:softHyphen/>
        <w:t>gesetzbuches geregelt, es sei denn, der Arbeitgeber hat es versäumt, die konkreten Gründe für die Entlassung mitzuteilen. Gegebenenfalls obliegt es dem Arbeitgeber, den Nachweis zu erbringen, dass die Entlassung nicht offensichtlich unangemessen ist.</w:t>
      </w:r>
    </w:p>
    <w:p w14:paraId="6715DB45" w14:textId="77777777" w:rsidR="00471E7D" w:rsidRPr="00471E7D" w:rsidRDefault="00471E7D" w:rsidP="00905050">
      <w:pPr>
        <w:jc w:val="both"/>
        <w:rPr>
          <w:szCs w:val="22"/>
          <w:lang w:val="de-DE"/>
        </w:rPr>
      </w:pPr>
    </w:p>
    <w:p w14:paraId="4C89C201" w14:textId="77777777" w:rsidR="00471E7D" w:rsidRPr="00471E7D" w:rsidRDefault="00471E7D" w:rsidP="00905050">
      <w:pPr>
        <w:jc w:val="both"/>
        <w:rPr>
          <w:szCs w:val="22"/>
          <w:lang w:val="de-DE"/>
        </w:rPr>
      </w:pPr>
    </w:p>
    <w:p w14:paraId="5BE47555" w14:textId="77777777" w:rsidR="00471E7D" w:rsidRPr="00471E7D" w:rsidRDefault="00471E7D" w:rsidP="00905050">
      <w:pPr>
        <w:jc w:val="both"/>
        <w:rPr>
          <w:lang w:val="de-DE"/>
        </w:rPr>
      </w:pPr>
      <w:r w:rsidRPr="00471E7D">
        <w:rPr>
          <w:lang w:val="de-DE"/>
        </w:rPr>
        <w:tab/>
      </w:r>
      <w:r w:rsidRPr="00471E7D">
        <w:rPr>
          <w:b/>
          <w:lang w:val="de-DE"/>
        </w:rPr>
        <w:t>Art. 5 -</w:t>
      </w:r>
      <w:r w:rsidRPr="00471E7D">
        <w:rPr>
          <w:lang w:val="de-DE"/>
        </w:rPr>
        <w:t xml:space="preserve"> Vorliegendes Gesetz tritt am ersten Tag des zweiten Monats nach dem Monat seiner Veröffentlichung im </w:t>
      </w:r>
      <w:r w:rsidRPr="00471E7D">
        <w:rPr>
          <w:i/>
          <w:iCs/>
          <w:lang w:val="de-DE"/>
        </w:rPr>
        <w:t>Belgischen Staatsblatt</w:t>
      </w:r>
      <w:r w:rsidRPr="00471E7D">
        <w:rPr>
          <w:lang w:val="de-DE"/>
        </w:rPr>
        <w:t xml:space="preserve"> in Kraft.</w:t>
      </w:r>
    </w:p>
    <w:p w14:paraId="667616F7" w14:textId="77777777" w:rsidR="00471E7D" w:rsidRPr="00471E7D" w:rsidRDefault="00471E7D" w:rsidP="00905050">
      <w:pPr>
        <w:jc w:val="both"/>
        <w:rPr>
          <w:szCs w:val="22"/>
          <w:lang w:val="de-DE"/>
        </w:rPr>
      </w:pPr>
    </w:p>
    <w:p w14:paraId="5B5C00CF" w14:textId="77777777" w:rsidR="00471E7D" w:rsidRPr="00471E7D" w:rsidRDefault="00471E7D" w:rsidP="00905050">
      <w:pPr>
        <w:jc w:val="both"/>
        <w:rPr>
          <w:szCs w:val="22"/>
          <w:lang w:val="de-DE"/>
        </w:rPr>
      </w:pPr>
    </w:p>
    <w:p w14:paraId="4C7D5237" w14:textId="77777777" w:rsidR="00471E7D" w:rsidRDefault="00471E7D" w:rsidP="00905050">
      <w:pPr>
        <w:jc w:val="both"/>
        <w:rPr>
          <w:lang w:val="de-DE"/>
        </w:rPr>
      </w:pPr>
      <w:r w:rsidRPr="00471E7D">
        <w:rPr>
          <w:lang w:val="de-DE"/>
        </w:rPr>
        <w:tab/>
      </w:r>
    </w:p>
    <w:p w14:paraId="532C7E1C" w14:textId="77777777" w:rsidR="00471E7D" w:rsidRDefault="00471E7D">
      <w:pPr>
        <w:rPr>
          <w:lang w:val="de-DE"/>
        </w:rPr>
      </w:pPr>
      <w:r>
        <w:rPr>
          <w:lang w:val="de-DE"/>
        </w:rPr>
        <w:br w:type="page"/>
      </w:r>
    </w:p>
    <w:p w14:paraId="7397E16F" w14:textId="6CEEDA67" w:rsidR="00471E7D" w:rsidRPr="00471E7D" w:rsidRDefault="00471E7D" w:rsidP="00905050">
      <w:pPr>
        <w:jc w:val="both"/>
        <w:rPr>
          <w:lang w:val="de-DE"/>
        </w:rPr>
      </w:pPr>
      <w:r>
        <w:rPr>
          <w:lang w:val="de-DE"/>
        </w:rPr>
        <w:lastRenderedPageBreak/>
        <w:tab/>
      </w:r>
      <w:r w:rsidRPr="00471E7D">
        <w:rPr>
          <w:lang w:val="de-DE"/>
        </w:rPr>
        <w:t xml:space="preserve">Wir fertigen das vorliegende Gesetz aus und ordnen an, dass es mit dem Staatssiegel versehen und durch das </w:t>
      </w:r>
      <w:r w:rsidRPr="00471E7D">
        <w:rPr>
          <w:i/>
          <w:lang w:val="de-DE"/>
        </w:rPr>
        <w:t>Belgische Staatsblatt</w:t>
      </w:r>
      <w:r w:rsidRPr="00471E7D">
        <w:rPr>
          <w:lang w:val="de-DE"/>
        </w:rPr>
        <w:t xml:space="preserve"> veröffentlicht wird.</w:t>
      </w:r>
    </w:p>
    <w:p w14:paraId="24B0502B" w14:textId="77777777" w:rsidR="00471E7D" w:rsidRPr="00471E7D" w:rsidRDefault="00471E7D" w:rsidP="00905050">
      <w:pPr>
        <w:jc w:val="both"/>
        <w:rPr>
          <w:szCs w:val="22"/>
          <w:lang w:val="de-DE"/>
        </w:rPr>
      </w:pPr>
    </w:p>
    <w:p w14:paraId="1B004A61" w14:textId="77777777" w:rsidR="00471E7D" w:rsidRPr="00471E7D" w:rsidRDefault="00471E7D" w:rsidP="00905050">
      <w:pPr>
        <w:jc w:val="both"/>
        <w:rPr>
          <w:lang w:val="de-DE"/>
        </w:rPr>
      </w:pPr>
      <w:r w:rsidRPr="00471E7D">
        <w:rPr>
          <w:lang w:val="de-DE"/>
        </w:rPr>
        <w:tab/>
        <w:t>Gegeben zu Brüssel, den 13. März 2024</w:t>
      </w:r>
    </w:p>
    <w:p w14:paraId="75322D06" w14:textId="77777777" w:rsidR="00471E7D" w:rsidRPr="00471E7D" w:rsidRDefault="00471E7D" w:rsidP="00905050">
      <w:pPr>
        <w:jc w:val="both"/>
        <w:rPr>
          <w:szCs w:val="22"/>
          <w:lang w:val="de-DE"/>
        </w:rPr>
      </w:pPr>
    </w:p>
    <w:p w14:paraId="20F62B74" w14:textId="77777777" w:rsidR="00471E7D" w:rsidRPr="00471E7D" w:rsidRDefault="00471E7D" w:rsidP="00905050">
      <w:pPr>
        <w:jc w:val="both"/>
        <w:rPr>
          <w:szCs w:val="22"/>
          <w:lang w:val="de-DE"/>
        </w:rPr>
      </w:pPr>
    </w:p>
    <w:p w14:paraId="1EEDC6C0" w14:textId="77777777" w:rsidR="00471E7D" w:rsidRPr="00471E7D" w:rsidRDefault="00471E7D" w:rsidP="00905050">
      <w:pPr>
        <w:jc w:val="center"/>
        <w:rPr>
          <w:lang w:val="de-DE"/>
        </w:rPr>
      </w:pPr>
      <w:r w:rsidRPr="00471E7D">
        <w:rPr>
          <w:lang w:val="de-DE"/>
        </w:rPr>
        <w:t>PHILIPPE</w:t>
      </w:r>
    </w:p>
    <w:p w14:paraId="22EE83C7" w14:textId="77777777" w:rsidR="00471E7D" w:rsidRPr="00471E7D" w:rsidRDefault="00471E7D" w:rsidP="00905050">
      <w:pPr>
        <w:jc w:val="both"/>
        <w:rPr>
          <w:szCs w:val="22"/>
          <w:lang w:val="de-DE"/>
        </w:rPr>
      </w:pPr>
    </w:p>
    <w:p w14:paraId="33421C78" w14:textId="77777777" w:rsidR="00471E7D" w:rsidRPr="00471E7D" w:rsidRDefault="00471E7D" w:rsidP="00905050">
      <w:pPr>
        <w:jc w:val="both"/>
        <w:rPr>
          <w:szCs w:val="22"/>
          <w:lang w:val="de-DE"/>
        </w:rPr>
      </w:pPr>
    </w:p>
    <w:p w14:paraId="0A4B03C2" w14:textId="77777777" w:rsidR="00471E7D" w:rsidRPr="00471E7D" w:rsidRDefault="00471E7D" w:rsidP="00905050">
      <w:pPr>
        <w:jc w:val="center"/>
        <w:rPr>
          <w:lang w:val="de-DE"/>
        </w:rPr>
      </w:pPr>
      <w:r w:rsidRPr="00471E7D">
        <w:rPr>
          <w:lang w:val="de-DE"/>
        </w:rPr>
        <w:t>Von Königs wegen:</w:t>
      </w:r>
    </w:p>
    <w:p w14:paraId="7ADBECFC" w14:textId="77777777" w:rsidR="00471E7D" w:rsidRPr="00471E7D" w:rsidRDefault="00471E7D" w:rsidP="00905050">
      <w:pPr>
        <w:jc w:val="both"/>
        <w:rPr>
          <w:szCs w:val="22"/>
          <w:lang w:val="de-DE"/>
        </w:rPr>
      </w:pPr>
    </w:p>
    <w:p w14:paraId="621F72A3" w14:textId="77777777" w:rsidR="00471E7D" w:rsidRPr="00471E7D" w:rsidRDefault="00471E7D" w:rsidP="00905050">
      <w:pPr>
        <w:jc w:val="center"/>
        <w:rPr>
          <w:lang w:val="de-DE"/>
        </w:rPr>
      </w:pPr>
      <w:r w:rsidRPr="00471E7D">
        <w:rPr>
          <w:lang w:val="de-DE"/>
        </w:rPr>
        <w:t>Die Ministerin des Öffentlichen Dienstes</w:t>
      </w:r>
    </w:p>
    <w:p w14:paraId="6B7DB10D" w14:textId="77777777" w:rsidR="00471E7D" w:rsidRPr="00471E7D" w:rsidRDefault="00471E7D" w:rsidP="00905050">
      <w:pPr>
        <w:jc w:val="center"/>
        <w:rPr>
          <w:lang w:val="de-DE"/>
        </w:rPr>
      </w:pPr>
      <w:r w:rsidRPr="00471E7D">
        <w:rPr>
          <w:lang w:val="de-DE"/>
        </w:rPr>
        <w:t>P. DE SUTTER</w:t>
      </w:r>
    </w:p>
    <w:p w14:paraId="4FFE37C2" w14:textId="77777777" w:rsidR="00471E7D" w:rsidRPr="00471E7D" w:rsidRDefault="00471E7D" w:rsidP="00905050">
      <w:pPr>
        <w:jc w:val="both"/>
        <w:rPr>
          <w:szCs w:val="22"/>
          <w:lang w:val="de-DE"/>
        </w:rPr>
      </w:pPr>
    </w:p>
    <w:p w14:paraId="66ADE704" w14:textId="77777777" w:rsidR="00471E7D" w:rsidRPr="00471E7D" w:rsidRDefault="00471E7D" w:rsidP="00905050">
      <w:pPr>
        <w:jc w:val="both"/>
        <w:rPr>
          <w:szCs w:val="22"/>
          <w:lang w:val="de-DE"/>
        </w:rPr>
      </w:pPr>
    </w:p>
    <w:p w14:paraId="3884609E" w14:textId="77777777" w:rsidR="00471E7D" w:rsidRPr="00471E7D" w:rsidRDefault="00471E7D" w:rsidP="00905050">
      <w:pPr>
        <w:jc w:val="center"/>
        <w:rPr>
          <w:lang w:val="de-DE"/>
        </w:rPr>
      </w:pPr>
      <w:r w:rsidRPr="00471E7D">
        <w:rPr>
          <w:lang w:val="de-DE"/>
        </w:rPr>
        <w:t>Mit dem Staatssiegel versehen:</w:t>
      </w:r>
    </w:p>
    <w:p w14:paraId="497B50E9" w14:textId="77777777" w:rsidR="00471E7D" w:rsidRPr="00471E7D" w:rsidRDefault="00471E7D" w:rsidP="00905050">
      <w:pPr>
        <w:jc w:val="both"/>
        <w:rPr>
          <w:szCs w:val="22"/>
          <w:lang w:val="de-DE"/>
        </w:rPr>
      </w:pPr>
    </w:p>
    <w:p w14:paraId="1ADBC760" w14:textId="77777777" w:rsidR="00471E7D" w:rsidRPr="00471E7D" w:rsidRDefault="00471E7D" w:rsidP="00905050">
      <w:pPr>
        <w:jc w:val="center"/>
        <w:rPr>
          <w:lang w:val="de-DE"/>
        </w:rPr>
      </w:pPr>
      <w:r w:rsidRPr="00471E7D">
        <w:rPr>
          <w:lang w:val="de-DE"/>
        </w:rPr>
        <w:t>Der Minister der Justiz</w:t>
      </w:r>
    </w:p>
    <w:p w14:paraId="7C7C6159" w14:textId="77777777" w:rsidR="00471E7D" w:rsidRPr="00471E7D" w:rsidRDefault="00471E7D" w:rsidP="00905050">
      <w:pPr>
        <w:jc w:val="center"/>
        <w:rPr>
          <w:lang w:val="de-DE"/>
        </w:rPr>
      </w:pPr>
      <w:r w:rsidRPr="00471E7D">
        <w:rPr>
          <w:lang w:val="de-DE"/>
        </w:rPr>
        <w:t>P. VAN TIGCHELT</w:t>
      </w:r>
    </w:p>
    <w:p w14:paraId="4AAF8B5E" w14:textId="77777777" w:rsidR="00471E7D" w:rsidRPr="00471E7D" w:rsidRDefault="00471E7D" w:rsidP="003D60A6">
      <w:pPr>
        <w:jc w:val="both"/>
        <w:rPr>
          <w:lang w:val="de-DE"/>
        </w:rPr>
      </w:pPr>
    </w:p>
    <w:p w14:paraId="239B17B4" w14:textId="77777777" w:rsidR="00233F36" w:rsidRPr="00C80000" w:rsidRDefault="00233F36" w:rsidP="00E1687C">
      <w:pPr>
        <w:jc w:val="both"/>
        <w:rPr>
          <w:lang w:val="de-DE"/>
        </w:rPr>
      </w:pPr>
    </w:p>
    <w:sectPr w:rsidR="00233F36" w:rsidRPr="00C80000" w:rsidSect="00471E7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95239787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60901"/>
    <w:rsid w:val="003725C6"/>
    <w:rsid w:val="00385261"/>
    <w:rsid w:val="00471E7D"/>
    <w:rsid w:val="004C4424"/>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D1413F"/>
  <w15:docId w15:val="{652DF5F1-213C-40A5-9046-FDFF9B1D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804</Words>
  <Characters>4427</Characters>
  <Application>Microsoft Office Word</Application>
  <DocSecurity>0</DocSecurity>
  <Lines>36</Lines>
  <Paragraphs>10</Paragraphs>
  <ScaleCrop>false</ScaleCrop>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2026-03-02T15:19:00Z</dcterms:created>
  <dcterms:modified xsi:type="dcterms:W3CDTF">2026-03-02T15:20:00Z</dcterms:modified>
</cp:coreProperties>
</file>