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38EE" w14:textId="497D4D02" w:rsidR="00CE0D3F" w:rsidRPr="00CE0D3F" w:rsidRDefault="007351AE" w:rsidP="00CE0D3F">
      <w:pPr>
        <w:contextualSpacing/>
        <w:jc w:val="both"/>
        <w:rPr>
          <w:b/>
          <w:bCs/>
          <w:lang w:val="de-DE"/>
        </w:rPr>
      </w:pPr>
      <w:r>
        <w:rPr>
          <w:b/>
          <w:lang w:val="de-DE"/>
        </w:rPr>
        <w:t>2</w:t>
      </w:r>
      <w:r w:rsidR="00CE0D3F" w:rsidRPr="00CE0D3F">
        <w:rPr>
          <w:b/>
          <w:lang w:val="de-DE"/>
        </w:rPr>
        <w:t>0. SEPTEMBER 2023 - Königlicher Erlass zur Ausführung von Artikel 445 § 5 des Einkommensteuergesetzbuches 1992 in Bezug auf die Festlegung der Skala der administrativen Geldbußen und deren Anwendungsmodalitäten</w:t>
      </w:r>
    </w:p>
    <w:p w14:paraId="75F64471" w14:textId="77777777" w:rsidR="00233F36" w:rsidRPr="00CE0D3F" w:rsidRDefault="00233F36" w:rsidP="00127CA8">
      <w:pPr>
        <w:jc w:val="both"/>
        <w:rPr>
          <w:lang w:val="de-DE"/>
        </w:rPr>
      </w:pPr>
    </w:p>
    <w:p w14:paraId="03ACA342" w14:textId="77777777" w:rsidR="00233F36" w:rsidRPr="00CE0D3F" w:rsidRDefault="00233F36">
      <w:pPr>
        <w:rPr>
          <w:lang w:val="de-DE"/>
        </w:rPr>
      </w:pPr>
    </w:p>
    <w:p w14:paraId="10FFC65D" w14:textId="59A7ED92" w:rsidR="00233F36" w:rsidRPr="00CE0D3F" w:rsidRDefault="00233F36" w:rsidP="000F5F44">
      <w:pPr>
        <w:jc w:val="center"/>
        <w:rPr>
          <w:i/>
          <w:lang w:val="de-DE"/>
        </w:rPr>
      </w:pPr>
      <w:r w:rsidRPr="00CE0D3F">
        <w:rPr>
          <w:lang w:val="de-DE"/>
        </w:rPr>
        <w:t>(</w:t>
      </w:r>
      <w:r w:rsidRPr="00CE0D3F">
        <w:rPr>
          <w:i/>
          <w:lang w:val="de-DE"/>
        </w:rPr>
        <w:t xml:space="preserve">Belgisches Staatsblatt </w:t>
      </w:r>
      <w:r w:rsidRPr="00CE0D3F">
        <w:rPr>
          <w:lang w:val="de-DE"/>
        </w:rPr>
        <w:t xml:space="preserve">vom </w:t>
      </w:r>
      <w:r w:rsidR="00CE0D3F" w:rsidRPr="00CE0D3F">
        <w:rPr>
          <w:lang w:val="de-DE"/>
        </w:rPr>
        <w:t>25. Februar 2025</w:t>
      </w:r>
      <w:r w:rsidRPr="00CE0D3F">
        <w:rPr>
          <w:lang w:val="de-DE"/>
        </w:rPr>
        <w:t>)</w:t>
      </w:r>
    </w:p>
    <w:p w14:paraId="3F6997C8" w14:textId="77777777" w:rsidR="00233F36" w:rsidRPr="00CE0D3F" w:rsidRDefault="00233F36" w:rsidP="000F5F44">
      <w:pPr>
        <w:jc w:val="center"/>
        <w:rPr>
          <w:lang w:val="de-DE"/>
        </w:rPr>
      </w:pPr>
    </w:p>
    <w:p w14:paraId="50F09DC2" w14:textId="77777777" w:rsidR="00233F36" w:rsidRPr="00CE0D3F" w:rsidRDefault="00233F36" w:rsidP="00CA081B">
      <w:pPr>
        <w:jc w:val="center"/>
        <w:rPr>
          <w:lang w:val="de-DE"/>
        </w:rPr>
      </w:pPr>
    </w:p>
    <w:p w14:paraId="39E10DF8" w14:textId="77777777" w:rsidR="00233F36" w:rsidRPr="00CE0D3F" w:rsidRDefault="00233F36" w:rsidP="00CA081B">
      <w:pPr>
        <w:jc w:val="both"/>
        <w:rPr>
          <w:lang w:val="de-DE"/>
        </w:rPr>
      </w:pPr>
      <w:r w:rsidRPr="00CE0D3F">
        <w:rPr>
          <w:lang w:val="de-DE"/>
        </w:rPr>
        <w:t>Diese deutsche Übersetzung ist von der Zentralen Dienststelle für Deutsche Übersetzungen in Malmedy erstellt worden.</w:t>
      </w:r>
    </w:p>
    <w:p w14:paraId="09E1AB8E" w14:textId="77777777" w:rsidR="00E1687C" w:rsidRPr="00CE0D3F" w:rsidRDefault="00E1687C" w:rsidP="00CA081B">
      <w:pPr>
        <w:jc w:val="both"/>
        <w:rPr>
          <w:lang w:val="de-DE"/>
        </w:rPr>
      </w:pPr>
    </w:p>
    <w:p w14:paraId="317F0C80" w14:textId="77777777" w:rsidR="00E1687C" w:rsidRPr="00CE0D3F" w:rsidRDefault="00E1687C" w:rsidP="00CA081B">
      <w:pPr>
        <w:jc w:val="both"/>
        <w:rPr>
          <w:lang w:val="de-DE"/>
        </w:rPr>
      </w:pPr>
    </w:p>
    <w:p w14:paraId="720F60E4" w14:textId="77777777" w:rsidR="00233F36" w:rsidRPr="00CE0D3F" w:rsidRDefault="00233F36" w:rsidP="006F4381">
      <w:pPr>
        <w:jc w:val="both"/>
        <w:rPr>
          <w:lang w:val="de-DE"/>
        </w:rPr>
        <w:sectPr w:rsidR="00233F36" w:rsidRPr="00CE0D3F" w:rsidSect="0051470C">
          <w:pgSz w:w="11906" w:h="16838" w:code="9"/>
          <w:pgMar w:top="1418" w:right="1418" w:bottom="1418" w:left="1418" w:header="709" w:footer="709" w:gutter="0"/>
          <w:cols w:space="708"/>
          <w:vAlign w:val="center"/>
          <w:docGrid w:linePitch="360"/>
        </w:sectPr>
      </w:pPr>
    </w:p>
    <w:p w14:paraId="1BFA8470" w14:textId="77777777" w:rsidR="00CE0D3F" w:rsidRPr="00CE0D3F" w:rsidRDefault="00CE0D3F" w:rsidP="008448F2">
      <w:pPr>
        <w:contextualSpacing/>
        <w:jc w:val="center"/>
        <w:rPr>
          <w:b/>
          <w:bCs/>
          <w:lang w:val="de-DE"/>
        </w:rPr>
      </w:pPr>
      <w:bookmarkStart w:id="0" w:name="_Hlk195255322"/>
      <w:r w:rsidRPr="00CE0D3F">
        <w:rPr>
          <w:b/>
          <w:lang w:val="de-DE"/>
        </w:rPr>
        <w:lastRenderedPageBreak/>
        <w:t>FÖDERALER ÖFFENTLICHER DIENST FINANZEN</w:t>
      </w:r>
    </w:p>
    <w:p w14:paraId="74B77EB2" w14:textId="77777777" w:rsidR="00CE0D3F" w:rsidRPr="00CE0D3F" w:rsidRDefault="00CE0D3F" w:rsidP="008448F2">
      <w:pPr>
        <w:contextualSpacing/>
        <w:jc w:val="both"/>
        <w:rPr>
          <w:b/>
          <w:bCs/>
          <w:lang w:val="de-DE"/>
        </w:rPr>
      </w:pPr>
    </w:p>
    <w:p w14:paraId="3E8473D7" w14:textId="77777777" w:rsidR="00CE0D3F" w:rsidRPr="00CE0D3F" w:rsidRDefault="00CE0D3F" w:rsidP="008448F2">
      <w:pPr>
        <w:contextualSpacing/>
        <w:jc w:val="both"/>
        <w:rPr>
          <w:b/>
          <w:bCs/>
          <w:lang w:val="de-DE"/>
        </w:rPr>
      </w:pPr>
    </w:p>
    <w:bookmarkEnd w:id="0"/>
    <w:p w14:paraId="7A5CDEA3" w14:textId="77777777" w:rsidR="00CE0D3F" w:rsidRPr="00CE0D3F" w:rsidRDefault="00CE0D3F" w:rsidP="008448F2">
      <w:pPr>
        <w:contextualSpacing/>
        <w:jc w:val="both"/>
        <w:rPr>
          <w:b/>
          <w:bCs/>
          <w:lang w:val="de-DE"/>
        </w:rPr>
      </w:pPr>
      <w:r w:rsidRPr="00CE0D3F">
        <w:rPr>
          <w:b/>
          <w:lang w:val="de-DE"/>
        </w:rPr>
        <w:t>20. SEPTEMBER 2023 - Königlicher Erlass zur Ausführung von Artikel 445 § 5 des Einkommensteuergesetzbuches 1992 in Bezug auf die Festlegung der Skala der administrativen Geldbußen und deren Anwendungsmodalitäten</w:t>
      </w:r>
    </w:p>
    <w:p w14:paraId="57D603C2" w14:textId="77777777" w:rsidR="00CE0D3F" w:rsidRPr="00CE0D3F" w:rsidRDefault="00CE0D3F" w:rsidP="008448F2">
      <w:pPr>
        <w:contextualSpacing/>
        <w:jc w:val="both"/>
        <w:rPr>
          <w:lang w:val="de-DE"/>
        </w:rPr>
      </w:pPr>
    </w:p>
    <w:p w14:paraId="485AFCB9" w14:textId="77777777" w:rsidR="00CE0D3F" w:rsidRPr="00CE0D3F" w:rsidRDefault="00CE0D3F" w:rsidP="008448F2">
      <w:pPr>
        <w:contextualSpacing/>
        <w:jc w:val="both"/>
        <w:rPr>
          <w:lang w:val="de-DE"/>
        </w:rPr>
      </w:pPr>
    </w:p>
    <w:p w14:paraId="659E177A" w14:textId="77777777" w:rsidR="00CE0D3F" w:rsidRPr="00CE0D3F" w:rsidRDefault="00CE0D3F" w:rsidP="008448F2">
      <w:pPr>
        <w:contextualSpacing/>
        <w:jc w:val="center"/>
        <w:rPr>
          <w:lang w:val="de-DE"/>
        </w:rPr>
      </w:pPr>
      <w:r w:rsidRPr="00CE0D3F">
        <w:rPr>
          <w:lang w:val="de-DE"/>
        </w:rPr>
        <w:t>BERICHT AN DEN KÖNIG</w:t>
      </w:r>
    </w:p>
    <w:p w14:paraId="7CF78E17" w14:textId="77777777" w:rsidR="00CE0D3F" w:rsidRPr="00CE0D3F" w:rsidRDefault="00CE0D3F" w:rsidP="008448F2">
      <w:pPr>
        <w:contextualSpacing/>
        <w:jc w:val="both"/>
        <w:rPr>
          <w:lang w:val="de-DE"/>
        </w:rPr>
      </w:pPr>
    </w:p>
    <w:p w14:paraId="40130257" w14:textId="77777777" w:rsidR="00CE0D3F" w:rsidRPr="00CE0D3F" w:rsidRDefault="00CE0D3F" w:rsidP="008448F2">
      <w:pPr>
        <w:contextualSpacing/>
        <w:jc w:val="both"/>
        <w:rPr>
          <w:lang w:val="de-DE"/>
        </w:rPr>
      </w:pPr>
    </w:p>
    <w:p w14:paraId="344D925B" w14:textId="77777777" w:rsidR="00CE0D3F" w:rsidRPr="00CE0D3F" w:rsidRDefault="00CE0D3F" w:rsidP="008448F2">
      <w:pPr>
        <w:ind w:left="708" w:firstLine="708"/>
        <w:contextualSpacing/>
        <w:jc w:val="both"/>
        <w:rPr>
          <w:lang w:val="de-DE"/>
        </w:rPr>
      </w:pPr>
      <w:r w:rsidRPr="00CE0D3F">
        <w:rPr>
          <w:lang w:val="de-DE"/>
        </w:rPr>
        <w:t>Sire,</w:t>
      </w:r>
    </w:p>
    <w:p w14:paraId="1EF4833A" w14:textId="77777777" w:rsidR="00CE0D3F" w:rsidRPr="00CE0D3F" w:rsidRDefault="00CE0D3F" w:rsidP="008448F2">
      <w:pPr>
        <w:contextualSpacing/>
        <w:jc w:val="both"/>
        <w:rPr>
          <w:lang w:val="de-DE"/>
        </w:rPr>
      </w:pPr>
    </w:p>
    <w:p w14:paraId="255B1D91" w14:textId="77777777" w:rsidR="00CE0D3F" w:rsidRPr="00CE0D3F" w:rsidRDefault="00CE0D3F" w:rsidP="008448F2">
      <w:pPr>
        <w:contextualSpacing/>
        <w:jc w:val="both"/>
        <w:rPr>
          <w:lang w:val="de-DE"/>
        </w:rPr>
      </w:pPr>
    </w:p>
    <w:p w14:paraId="338A00D1" w14:textId="77777777" w:rsidR="00CE0D3F" w:rsidRPr="00CE0D3F" w:rsidRDefault="00CE0D3F" w:rsidP="008448F2">
      <w:pPr>
        <w:ind w:firstLine="708"/>
        <w:contextualSpacing/>
        <w:jc w:val="both"/>
        <w:rPr>
          <w:lang w:val="de-DE"/>
        </w:rPr>
      </w:pPr>
      <w:r w:rsidRPr="00CE0D3F">
        <w:rPr>
          <w:lang w:val="de-DE"/>
        </w:rPr>
        <w:t>mit vorliegendem Entwurf eines Königlichen Erlasses wird bezweckt, Artikel 445 § 5 des Einkommensteuergesetzbuches 1992 (nachstehend "EStGB 92") auszuführen, indem eine Skala von Geldbußen für die verschiedenen unten erwähnten Situationen festgelegt wird.</w:t>
      </w:r>
    </w:p>
    <w:p w14:paraId="504E3428" w14:textId="77777777" w:rsidR="00CE0D3F" w:rsidRPr="00CE0D3F" w:rsidRDefault="00CE0D3F" w:rsidP="008448F2">
      <w:pPr>
        <w:contextualSpacing/>
        <w:jc w:val="both"/>
        <w:rPr>
          <w:lang w:val="de-DE"/>
        </w:rPr>
      </w:pPr>
    </w:p>
    <w:p w14:paraId="6333C163" w14:textId="77777777" w:rsidR="00CE0D3F" w:rsidRPr="00CE0D3F" w:rsidRDefault="00CE0D3F" w:rsidP="008448F2">
      <w:pPr>
        <w:contextualSpacing/>
        <w:jc w:val="both"/>
        <w:rPr>
          <w:lang w:val="de-DE"/>
        </w:rPr>
      </w:pPr>
      <w:r w:rsidRPr="00CE0D3F">
        <w:rPr>
          <w:lang w:val="de-DE"/>
        </w:rPr>
        <w:tab/>
        <w:t>In Artikel 445 § 5 des EStGB 92 ist ein System von Geldbußen bei Nichteinhaltung der in Artikel 473 des EStGB 92 festgelegten Pflicht zur spontanen Einreichung einer Erklärung vorgesehen.</w:t>
      </w:r>
    </w:p>
    <w:p w14:paraId="538EF185" w14:textId="77777777" w:rsidR="00CE0D3F" w:rsidRPr="00CE0D3F" w:rsidRDefault="00CE0D3F" w:rsidP="008448F2">
      <w:pPr>
        <w:contextualSpacing/>
        <w:jc w:val="both"/>
        <w:rPr>
          <w:lang w:val="de-DE"/>
        </w:rPr>
      </w:pPr>
    </w:p>
    <w:p w14:paraId="2DD44D24" w14:textId="77777777" w:rsidR="00CE0D3F" w:rsidRPr="00CE0D3F" w:rsidRDefault="00CE0D3F" w:rsidP="008448F2">
      <w:pPr>
        <w:contextualSpacing/>
        <w:jc w:val="both"/>
        <w:rPr>
          <w:lang w:val="de-DE"/>
        </w:rPr>
      </w:pPr>
      <w:r w:rsidRPr="00CE0D3F">
        <w:rPr>
          <w:lang w:val="de-DE"/>
        </w:rPr>
        <w:tab/>
        <w:t>Artikel 473 § 1 betrifft nur bebaute unbewegliche Güter, die in Belgien oder im Ausland gelegen sind, und Material und Ausrüstung, die in Belgien gelegen sind.</w:t>
      </w:r>
    </w:p>
    <w:p w14:paraId="44A01F0A" w14:textId="77777777" w:rsidR="00CE0D3F" w:rsidRPr="00CE0D3F" w:rsidRDefault="00CE0D3F" w:rsidP="008448F2">
      <w:pPr>
        <w:contextualSpacing/>
        <w:jc w:val="both"/>
        <w:rPr>
          <w:lang w:val="de-DE"/>
        </w:rPr>
      </w:pPr>
    </w:p>
    <w:p w14:paraId="4DD3AEFB" w14:textId="77777777" w:rsidR="00CE0D3F" w:rsidRPr="00CE0D3F" w:rsidRDefault="00CE0D3F" w:rsidP="008448F2">
      <w:pPr>
        <w:contextualSpacing/>
        <w:jc w:val="both"/>
        <w:rPr>
          <w:lang w:val="de-DE"/>
        </w:rPr>
      </w:pPr>
      <w:r w:rsidRPr="00CE0D3F">
        <w:rPr>
          <w:lang w:val="de-DE"/>
        </w:rPr>
        <w:tab/>
        <w:t>Paragraph 2 dieses Artikels betrifft Steuerpflichtige, die am 31. Dezember 2020 Inhaber eines dinglichen Rechts an einem im Ausland gelegenen unbeweglichen Gut sind, und Steuerpflichtige, die ein dingliches Recht an einem im Ausland gelegenen unbeweglichen Gut erwerben oder veräußern. Durch diesen Paragraphen sind sie verpflichtet, dies der Generalverwaltung Vermögensdokumentation spätestens am 31. Dezember 2021 beziehungsweise binnen vier Monaten ab einem Erwerb oder einer Veräußerung nach dem 31. Dezember 2020 von sich aus anzugeben.</w:t>
      </w:r>
    </w:p>
    <w:p w14:paraId="4CEC9FAF" w14:textId="77777777" w:rsidR="00CE0D3F" w:rsidRPr="00CE0D3F" w:rsidRDefault="00CE0D3F" w:rsidP="008448F2">
      <w:pPr>
        <w:contextualSpacing/>
        <w:jc w:val="both"/>
        <w:rPr>
          <w:lang w:val="de-DE"/>
        </w:rPr>
      </w:pPr>
    </w:p>
    <w:p w14:paraId="2CB6E7DF" w14:textId="77777777" w:rsidR="00CE0D3F" w:rsidRPr="00CE0D3F" w:rsidRDefault="00CE0D3F" w:rsidP="008448F2">
      <w:pPr>
        <w:contextualSpacing/>
        <w:jc w:val="both"/>
        <w:rPr>
          <w:lang w:val="de-DE"/>
        </w:rPr>
      </w:pPr>
      <w:r w:rsidRPr="00CE0D3F">
        <w:rPr>
          <w:lang w:val="de-DE"/>
        </w:rPr>
        <w:tab/>
        <w:t>Mit vorliegendem Entwurf eines Königlichen Erlasses wird vorgeschlagen, eine Skala von spezifischen Geldbußen, die in die Zuständigkeit der Generalverwaltung Vermögensdokumentation fallen, einzuführen, wenn gegen Artikel 473 des EStGB 92 verstoßen wird. Mit dieser Skala wird der Betrag der Geldbußen formalisiert, die aufgrund von Artikel 445 § 5 des EStGB 92 auf der Grundlage des Betrags der bewerteten oder neu bewerteten Katastereinkünfte angewandt werden.</w:t>
      </w:r>
    </w:p>
    <w:p w14:paraId="7FEA340B" w14:textId="77777777" w:rsidR="00CE0D3F" w:rsidRPr="00CE0D3F" w:rsidRDefault="00CE0D3F" w:rsidP="008448F2">
      <w:pPr>
        <w:contextualSpacing/>
        <w:jc w:val="both"/>
        <w:rPr>
          <w:lang w:val="de-DE"/>
        </w:rPr>
      </w:pPr>
    </w:p>
    <w:p w14:paraId="56DB88A0" w14:textId="77777777" w:rsidR="00CE0D3F" w:rsidRPr="00CE0D3F" w:rsidRDefault="00CE0D3F" w:rsidP="008448F2">
      <w:pPr>
        <w:contextualSpacing/>
        <w:jc w:val="both"/>
        <w:rPr>
          <w:lang w:val="de-DE"/>
        </w:rPr>
      </w:pPr>
      <w:r w:rsidRPr="00CE0D3F">
        <w:rPr>
          <w:lang w:val="de-DE"/>
        </w:rPr>
        <w:tab/>
        <w:t>Dem Gutachten Nr. 74.014/1/V des Staatsrates vom 11. August 2023 ist Rechnung getragen worden.</w:t>
      </w:r>
    </w:p>
    <w:p w14:paraId="3F153B11" w14:textId="77777777" w:rsidR="00CE0D3F" w:rsidRPr="00CE0D3F" w:rsidRDefault="00CE0D3F">
      <w:pPr>
        <w:rPr>
          <w:lang w:val="de-DE"/>
        </w:rPr>
      </w:pPr>
      <w:r w:rsidRPr="00CE0D3F">
        <w:rPr>
          <w:lang w:val="de-DE"/>
        </w:rPr>
        <w:br w:type="page"/>
      </w:r>
    </w:p>
    <w:p w14:paraId="2C87C5F5" w14:textId="77777777" w:rsidR="00CE0D3F" w:rsidRPr="00CE0D3F" w:rsidRDefault="00CE0D3F" w:rsidP="00BC53A7">
      <w:pPr>
        <w:contextualSpacing/>
        <w:jc w:val="center"/>
        <w:rPr>
          <w:lang w:val="de-DE"/>
        </w:rPr>
      </w:pPr>
      <w:r w:rsidRPr="00CE0D3F">
        <w:rPr>
          <w:lang w:val="de-DE"/>
        </w:rPr>
        <w:lastRenderedPageBreak/>
        <w:t>Kommentar zu den Artikeln</w:t>
      </w:r>
    </w:p>
    <w:p w14:paraId="6FC2061E" w14:textId="77777777" w:rsidR="00CE0D3F" w:rsidRPr="00CE0D3F" w:rsidRDefault="00CE0D3F" w:rsidP="00BC53A7">
      <w:pPr>
        <w:contextualSpacing/>
        <w:jc w:val="both"/>
        <w:rPr>
          <w:lang w:val="de-DE"/>
        </w:rPr>
      </w:pPr>
    </w:p>
    <w:p w14:paraId="01719CFF" w14:textId="77777777" w:rsidR="00CE0D3F" w:rsidRPr="00CE0D3F" w:rsidRDefault="00CE0D3F" w:rsidP="00BC53A7">
      <w:pPr>
        <w:ind w:firstLine="708"/>
        <w:contextualSpacing/>
        <w:jc w:val="both"/>
        <w:rPr>
          <w:lang w:val="de-DE"/>
        </w:rPr>
      </w:pPr>
      <w:r w:rsidRPr="00CE0D3F">
        <w:rPr>
          <w:lang w:val="de-DE"/>
        </w:rPr>
        <w:t>Artikel 1 - In Absatz 1 dieses Artikels wird die Skala der Geldbußen bei Nichteinhaltung der in Artikel 473 des EStGB 92 vorgesehenen Pflichten infolge der verspäteten Einreichung oder der Nichtabgabe einer Erklärung eingeführt.</w:t>
      </w:r>
    </w:p>
    <w:p w14:paraId="7EA08BEB" w14:textId="77777777" w:rsidR="00CE0D3F" w:rsidRPr="00CE0D3F" w:rsidRDefault="00CE0D3F" w:rsidP="008448F2">
      <w:pPr>
        <w:contextualSpacing/>
        <w:jc w:val="both"/>
        <w:rPr>
          <w:lang w:val="de-DE"/>
        </w:rPr>
      </w:pPr>
    </w:p>
    <w:p w14:paraId="7024B9CB" w14:textId="77777777" w:rsidR="00CE0D3F" w:rsidRPr="00CE0D3F" w:rsidRDefault="00CE0D3F" w:rsidP="00BC53A7">
      <w:pPr>
        <w:contextualSpacing/>
        <w:jc w:val="both"/>
        <w:rPr>
          <w:lang w:val="de-DE"/>
        </w:rPr>
      </w:pPr>
      <w:r w:rsidRPr="00CE0D3F">
        <w:rPr>
          <w:lang w:val="de-DE"/>
        </w:rPr>
        <w:tab/>
        <w:t>In Absatz 2 wird präzisiert, welches Katastereinkommen für die Festlegung des Betrags der Geldbuße in den in Artikel 473 § 1 des EStGB 92 erwähnten Situationen berücksichtigt wird.</w:t>
      </w:r>
    </w:p>
    <w:p w14:paraId="4BF89D0D" w14:textId="77777777" w:rsidR="00CE0D3F" w:rsidRPr="00CE0D3F" w:rsidRDefault="00CE0D3F" w:rsidP="008448F2">
      <w:pPr>
        <w:contextualSpacing/>
        <w:jc w:val="both"/>
        <w:rPr>
          <w:lang w:val="de-DE"/>
        </w:rPr>
      </w:pPr>
    </w:p>
    <w:p w14:paraId="1BADE2C0" w14:textId="77777777" w:rsidR="00CE0D3F" w:rsidRPr="00CE0D3F" w:rsidRDefault="00CE0D3F" w:rsidP="00BC53A7">
      <w:pPr>
        <w:contextualSpacing/>
        <w:jc w:val="both"/>
        <w:rPr>
          <w:lang w:val="de-DE"/>
        </w:rPr>
      </w:pPr>
      <w:r w:rsidRPr="00CE0D3F">
        <w:rPr>
          <w:lang w:val="de-DE"/>
        </w:rPr>
        <w:tab/>
        <w:t>In Absatz 3 wird bestimmt, dass eine Geldbuße für jede Katasterparzelle angewandt werden kann, für die eine Erklärung hätte abgegeben werden müssen oder für die die Erklärung verspätet eingereicht wurde.</w:t>
      </w:r>
    </w:p>
    <w:p w14:paraId="78E0B038" w14:textId="77777777" w:rsidR="00CE0D3F" w:rsidRPr="00CE0D3F" w:rsidRDefault="00CE0D3F" w:rsidP="008448F2">
      <w:pPr>
        <w:contextualSpacing/>
        <w:jc w:val="both"/>
        <w:rPr>
          <w:lang w:val="de-DE"/>
        </w:rPr>
      </w:pPr>
    </w:p>
    <w:p w14:paraId="5ED557B1" w14:textId="77777777" w:rsidR="00CE0D3F" w:rsidRPr="00CE0D3F" w:rsidRDefault="00CE0D3F" w:rsidP="00BC53A7">
      <w:pPr>
        <w:contextualSpacing/>
        <w:jc w:val="both"/>
        <w:rPr>
          <w:lang w:val="de-DE"/>
        </w:rPr>
      </w:pPr>
      <w:r w:rsidRPr="00CE0D3F">
        <w:rPr>
          <w:lang w:val="de-DE"/>
        </w:rPr>
        <w:tab/>
        <w:t>Artikel 2 - In diesem Artikel wird die Zuständigkeit des Ministers der Finanzen festgelegt.</w:t>
      </w:r>
    </w:p>
    <w:p w14:paraId="39920B2D" w14:textId="77777777" w:rsidR="00CE0D3F" w:rsidRPr="00CE0D3F" w:rsidRDefault="00CE0D3F" w:rsidP="00BC53A7">
      <w:pPr>
        <w:contextualSpacing/>
        <w:jc w:val="both"/>
        <w:rPr>
          <w:lang w:val="de-DE"/>
        </w:rPr>
      </w:pPr>
    </w:p>
    <w:p w14:paraId="32C38A13" w14:textId="77777777" w:rsidR="00CE0D3F" w:rsidRPr="00CE0D3F" w:rsidRDefault="00CE0D3F" w:rsidP="00BC53A7">
      <w:pPr>
        <w:contextualSpacing/>
        <w:jc w:val="both"/>
        <w:rPr>
          <w:lang w:val="de-DE"/>
        </w:rPr>
      </w:pPr>
      <w:r w:rsidRPr="00CE0D3F">
        <w:rPr>
          <w:lang w:val="de-DE"/>
        </w:rPr>
        <w:tab/>
        <w:t>Soweit, Sire, die Tragweite des Ihnen vorgelegten Erlasses.</w:t>
      </w:r>
    </w:p>
    <w:p w14:paraId="1294D4BF" w14:textId="77777777" w:rsidR="00CE0D3F" w:rsidRPr="00CE0D3F" w:rsidRDefault="00CE0D3F" w:rsidP="00BC53A7">
      <w:pPr>
        <w:contextualSpacing/>
        <w:jc w:val="both"/>
        <w:rPr>
          <w:lang w:val="de-DE"/>
        </w:rPr>
      </w:pPr>
    </w:p>
    <w:p w14:paraId="72B24EB1" w14:textId="77777777" w:rsidR="00CE0D3F" w:rsidRPr="00CE0D3F" w:rsidRDefault="00CE0D3F" w:rsidP="00BC53A7">
      <w:pPr>
        <w:contextualSpacing/>
        <w:jc w:val="both"/>
        <w:rPr>
          <w:lang w:val="de-DE"/>
        </w:rPr>
      </w:pPr>
      <w:r w:rsidRPr="00CE0D3F">
        <w:rPr>
          <w:lang w:val="de-DE"/>
        </w:rPr>
        <w:tab/>
        <w:t>Ich habe die Ehre,</w:t>
      </w:r>
    </w:p>
    <w:p w14:paraId="3D81DC0E" w14:textId="77777777" w:rsidR="00CE0D3F" w:rsidRPr="00CE0D3F" w:rsidRDefault="00CE0D3F" w:rsidP="008448F2">
      <w:pPr>
        <w:contextualSpacing/>
        <w:jc w:val="both"/>
        <w:rPr>
          <w:lang w:val="de-DE"/>
        </w:rPr>
      </w:pPr>
    </w:p>
    <w:p w14:paraId="39E3D363" w14:textId="77777777" w:rsidR="00CE0D3F" w:rsidRPr="00CE0D3F" w:rsidRDefault="00CE0D3F" w:rsidP="008448F2">
      <w:pPr>
        <w:contextualSpacing/>
        <w:jc w:val="both"/>
        <w:rPr>
          <w:lang w:val="de-DE"/>
        </w:rPr>
      </w:pPr>
    </w:p>
    <w:p w14:paraId="74314FAF" w14:textId="77777777" w:rsidR="00CE0D3F" w:rsidRPr="00CE0D3F" w:rsidRDefault="00CE0D3F" w:rsidP="008448F2">
      <w:pPr>
        <w:contextualSpacing/>
        <w:jc w:val="center"/>
        <w:rPr>
          <w:lang w:val="de-DE"/>
        </w:rPr>
      </w:pPr>
      <w:r w:rsidRPr="00CE0D3F">
        <w:rPr>
          <w:lang w:val="de-DE"/>
        </w:rPr>
        <w:t>Sire,</w:t>
      </w:r>
    </w:p>
    <w:p w14:paraId="22CADACC" w14:textId="77777777" w:rsidR="00CE0D3F" w:rsidRPr="00CE0D3F" w:rsidRDefault="00CE0D3F" w:rsidP="008448F2">
      <w:pPr>
        <w:contextualSpacing/>
        <w:jc w:val="center"/>
        <w:rPr>
          <w:lang w:val="de-DE"/>
        </w:rPr>
      </w:pPr>
    </w:p>
    <w:p w14:paraId="5B387F14" w14:textId="77777777" w:rsidR="00CE0D3F" w:rsidRPr="00CE0D3F" w:rsidRDefault="00CE0D3F" w:rsidP="008448F2">
      <w:pPr>
        <w:contextualSpacing/>
        <w:jc w:val="center"/>
        <w:rPr>
          <w:lang w:val="de-DE"/>
        </w:rPr>
      </w:pPr>
      <w:r w:rsidRPr="00CE0D3F">
        <w:rPr>
          <w:lang w:val="de-DE"/>
        </w:rPr>
        <w:t>der ehrerbietige und getreue Diener</w:t>
      </w:r>
    </w:p>
    <w:p w14:paraId="216FFA3C" w14:textId="77777777" w:rsidR="00CE0D3F" w:rsidRPr="00CE0D3F" w:rsidRDefault="00CE0D3F" w:rsidP="008448F2">
      <w:pPr>
        <w:contextualSpacing/>
        <w:jc w:val="center"/>
        <w:rPr>
          <w:lang w:val="de-DE"/>
        </w:rPr>
      </w:pPr>
      <w:r w:rsidRPr="00CE0D3F">
        <w:rPr>
          <w:lang w:val="de-DE"/>
        </w:rPr>
        <w:t>Eurer Majestät zu sein.</w:t>
      </w:r>
    </w:p>
    <w:p w14:paraId="5FDF8CB6" w14:textId="77777777" w:rsidR="00CE0D3F" w:rsidRPr="00CE0D3F" w:rsidRDefault="00CE0D3F" w:rsidP="008448F2">
      <w:pPr>
        <w:contextualSpacing/>
        <w:jc w:val="center"/>
        <w:rPr>
          <w:lang w:val="de-DE"/>
        </w:rPr>
      </w:pPr>
    </w:p>
    <w:p w14:paraId="1E2615CF" w14:textId="77777777" w:rsidR="00CE0D3F" w:rsidRPr="00CE0D3F" w:rsidRDefault="00CE0D3F" w:rsidP="008448F2">
      <w:pPr>
        <w:contextualSpacing/>
        <w:jc w:val="center"/>
        <w:rPr>
          <w:lang w:val="de-DE"/>
        </w:rPr>
      </w:pPr>
      <w:r w:rsidRPr="00CE0D3F">
        <w:rPr>
          <w:lang w:val="de-DE"/>
        </w:rPr>
        <w:t>Der Minister der Finanzen</w:t>
      </w:r>
    </w:p>
    <w:p w14:paraId="361F6B0F" w14:textId="77777777" w:rsidR="00CE0D3F" w:rsidRPr="00CE0D3F" w:rsidRDefault="00CE0D3F" w:rsidP="008448F2">
      <w:pPr>
        <w:contextualSpacing/>
        <w:jc w:val="center"/>
        <w:rPr>
          <w:lang w:val="de-DE"/>
        </w:rPr>
      </w:pPr>
      <w:r w:rsidRPr="00CE0D3F">
        <w:rPr>
          <w:lang w:val="de-DE"/>
        </w:rPr>
        <w:t>V. VAN PETEGHEM</w:t>
      </w:r>
    </w:p>
    <w:p w14:paraId="6E5AF583" w14:textId="77777777" w:rsidR="00CE0D3F" w:rsidRPr="00CE0D3F" w:rsidRDefault="00CE0D3F" w:rsidP="008448F2">
      <w:pPr>
        <w:contextualSpacing/>
        <w:jc w:val="center"/>
        <w:rPr>
          <w:lang w:val="de-DE"/>
        </w:rPr>
      </w:pPr>
    </w:p>
    <w:p w14:paraId="3289A557" w14:textId="77777777" w:rsidR="00CE0D3F" w:rsidRPr="00CE0D3F" w:rsidRDefault="00CE0D3F" w:rsidP="008448F2">
      <w:pPr>
        <w:contextualSpacing/>
        <w:jc w:val="center"/>
        <w:rPr>
          <w:lang w:val="de-DE"/>
        </w:rPr>
      </w:pPr>
      <w:r w:rsidRPr="00CE0D3F">
        <w:rPr>
          <w:lang w:val="de-DE"/>
        </w:rPr>
        <w:t>__________</w:t>
      </w:r>
    </w:p>
    <w:p w14:paraId="6598D318" w14:textId="77777777" w:rsidR="00CE0D3F" w:rsidRPr="00CE0D3F" w:rsidRDefault="00CE0D3F" w:rsidP="00BC53A7">
      <w:pPr>
        <w:contextualSpacing/>
        <w:jc w:val="both"/>
        <w:rPr>
          <w:lang w:val="de-DE"/>
        </w:rPr>
      </w:pPr>
    </w:p>
    <w:p w14:paraId="32E72D6A" w14:textId="77777777" w:rsidR="00CE0D3F" w:rsidRPr="00CE0D3F" w:rsidRDefault="00CE0D3F" w:rsidP="008448F2">
      <w:pPr>
        <w:contextualSpacing/>
        <w:jc w:val="both"/>
        <w:rPr>
          <w:lang w:val="de-DE"/>
        </w:rPr>
      </w:pPr>
    </w:p>
    <w:p w14:paraId="684F47B0" w14:textId="77777777" w:rsidR="00CE0D3F" w:rsidRDefault="00CE0D3F">
      <w:pPr>
        <w:rPr>
          <w:b/>
          <w:lang w:val="de-DE"/>
        </w:rPr>
      </w:pPr>
      <w:r>
        <w:rPr>
          <w:b/>
          <w:lang w:val="de-DE"/>
        </w:rPr>
        <w:br w:type="page"/>
      </w:r>
    </w:p>
    <w:p w14:paraId="01A0D2D3" w14:textId="77777777" w:rsidR="00CE0D3F" w:rsidRPr="00CE0D3F" w:rsidRDefault="00CE0D3F" w:rsidP="00CE0D3F">
      <w:pPr>
        <w:contextualSpacing/>
        <w:jc w:val="center"/>
        <w:rPr>
          <w:b/>
          <w:bCs/>
          <w:lang w:val="de-DE"/>
        </w:rPr>
      </w:pPr>
      <w:r w:rsidRPr="00CE0D3F">
        <w:rPr>
          <w:b/>
          <w:lang w:val="de-DE"/>
        </w:rPr>
        <w:lastRenderedPageBreak/>
        <w:t>FÖDERALER ÖFFENTLICHER DIENST FINANZEN</w:t>
      </w:r>
    </w:p>
    <w:p w14:paraId="11C4AABE" w14:textId="77777777" w:rsidR="00CE0D3F" w:rsidRPr="00CE0D3F" w:rsidRDefault="00CE0D3F" w:rsidP="00CE0D3F">
      <w:pPr>
        <w:contextualSpacing/>
        <w:jc w:val="both"/>
        <w:rPr>
          <w:b/>
          <w:bCs/>
          <w:lang w:val="de-DE"/>
        </w:rPr>
      </w:pPr>
    </w:p>
    <w:p w14:paraId="40D6F671" w14:textId="77777777" w:rsidR="00CE0D3F" w:rsidRPr="00CE0D3F" w:rsidRDefault="00CE0D3F" w:rsidP="00CE0D3F">
      <w:pPr>
        <w:contextualSpacing/>
        <w:jc w:val="both"/>
        <w:rPr>
          <w:b/>
          <w:bCs/>
          <w:lang w:val="de-DE"/>
        </w:rPr>
      </w:pPr>
    </w:p>
    <w:p w14:paraId="69C61259" w14:textId="2A570B0A" w:rsidR="00CE0D3F" w:rsidRPr="00CE0D3F" w:rsidRDefault="00CE0D3F" w:rsidP="008448F2">
      <w:pPr>
        <w:contextualSpacing/>
        <w:jc w:val="both"/>
        <w:rPr>
          <w:b/>
          <w:bCs/>
          <w:lang w:val="de-DE"/>
        </w:rPr>
      </w:pPr>
      <w:r w:rsidRPr="00CE0D3F">
        <w:rPr>
          <w:b/>
          <w:lang w:val="de-DE"/>
        </w:rPr>
        <w:t>20. SEPTEMBER 2023 - Königlicher Erlass zur Ausführung von Artikel 445 § 5 des Einkommensteuergesetzbuches 1992 in Bezug auf die Festlegung der Skala der administrativen Geldbußen und deren Anwendungsmodalitäten</w:t>
      </w:r>
    </w:p>
    <w:p w14:paraId="6EBACE2D" w14:textId="77777777" w:rsidR="00CE0D3F" w:rsidRPr="00CE0D3F" w:rsidRDefault="00CE0D3F" w:rsidP="008448F2">
      <w:pPr>
        <w:contextualSpacing/>
        <w:jc w:val="both"/>
        <w:rPr>
          <w:lang w:val="de-DE"/>
        </w:rPr>
      </w:pPr>
    </w:p>
    <w:p w14:paraId="0F847921" w14:textId="77777777" w:rsidR="00CE0D3F" w:rsidRPr="00CE0D3F" w:rsidRDefault="00CE0D3F" w:rsidP="008448F2">
      <w:pPr>
        <w:contextualSpacing/>
        <w:jc w:val="both"/>
        <w:rPr>
          <w:lang w:val="de-DE"/>
        </w:rPr>
      </w:pPr>
    </w:p>
    <w:p w14:paraId="6827A64D" w14:textId="77777777" w:rsidR="00CE0D3F" w:rsidRPr="00CE0D3F" w:rsidRDefault="00CE0D3F" w:rsidP="00BC53A7">
      <w:pPr>
        <w:contextualSpacing/>
        <w:jc w:val="both"/>
        <w:rPr>
          <w:lang w:val="de-DE"/>
        </w:rPr>
      </w:pPr>
      <w:r w:rsidRPr="00CE0D3F">
        <w:rPr>
          <w:lang w:val="de-DE"/>
        </w:rPr>
        <w:tab/>
      </w:r>
      <w:r w:rsidRPr="00CE0D3F">
        <w:rPr>
          <w:lang w:val="de-DE"/>
        </w:rPr>
        <w:tab/>
      </w:r>
      <w:r w:rsidRPr="00CE0D3F">
        <w:rPr>
          <w:lang w:val="de-DE"/>
        </w:rPr>
        <w:tab/>
        <w:t>PHILIPPE, König der Belgier,</w:t>
      </w:r>
    </w:p>
    <w:p w14:paraId="5423C478" w14:textId="77777777" w:rsidR="00CE0D3F" w:rsidRPr="00CE0D3F" w:rsidRDefault="00CE0D3F" w:rsidP="00BC53A7">
      <w:pPr>
        <w:contextualSpacing/>
        <w:jc w:val="both"/>
        <w:rPr>
          <w:lang w:val="de-DE"/>
        </w:rPr>
      </w:pPr>
    </w:p>
    <w:p w14:paraId="7B350A07" w14:textId="77777777" w:rsidR="00CE0D3F" w:rsidRPr="00CE0D3F" w:rsidRDefault="00CE0D3F" w:rsidP="00BC53A7">
      <w:pPr>
        <w:contextualSpacing/>
        <w:jc w:val="both"/>
        <w:rPr>
          <w:lang w:val="de-DE"/>
        </w:rPr>
      </w:pPr>
      <w:r w:rsidRPr="00CE0D3F">
        <w:rPr>
          <w:lang w:val="de-DE"/>
        </w:rPr>
        <w:tab/>
      </w:r>
      <w:r w:rsidRPr="00CE0D3F">
        <w:rPr>
          <w:lang w:val="de-DE"/>
        </w:rPr>
        <w:tab/>
        <w:t>Allen Gegenwärtigen und Zukünftigen, Unser Gruß!</w:t>
      </w:r>
    </w:p>
    <w:p w14:paraId="3CCEB7F6" w14:textId="77777777" w:rsidR="00CE0D3F" w:rsidRPr="00CE0D3F" w:rsidRDefault="00CE0D3F" w:rsidP="008448F2">
      <w:pPr>
        <w:contextualSpacing/>
        <w:jc w:val="both"/>
        <w:rPr>
          <w:lang w:val="de-DE"/>
        </w:rPr>
      </w:pPr>
    </w:p>
    <w:p w14:paraId="6174374D" w14:textId="77777777" w:rsidR="00CE0D3F" w:rsidRPr="00CE0D3F" w:rsidRDefault="00CE0D3F" w:rsidP="008448F2">
      <w:pPr>
        <w:contextualSpacing/>
        <w:jc w:val="both"/>
        <w:rPr>
          <w:lang w:val="de-DE"/>
        </w:rPr>
      </w:pPr>
    </w:p>
    <w:p w14:paraId="427A6422" w14:textId="77777777" w:rsidR="00CE0D3F" w:rsidRPr="00CE0D3F" w:rsidRDefault="00CE0D3F" w:rsidP="00BC53A7">
      <w:pPr>
        <w:contextualSpacing/>
        <w:jc w:val="both"/>
        <w:rPr>
          <w:lang w:val="de-DE"/>
        </w:rPr>
      </w:pPr>
      <w:r w:rsidRPr="00CE0D3F">
        <w:rPr>
          <w:lang w:val="de-DE"/>
        </w:rPr>
        <w:tab/>
        <w:t>Aufgrund des Einkommensteuergesetzbuches 1992, der Artikel 445 § 5, eingefügt durch das Programmgesetz vom 10. Februar 2021, 473 und 494 § 1 Nr. 4;</w:t>
      </w:r>
    </w:p>
    <w:p w14:paraId="6C603A0D" w14:textId="77777777" w:rsidR="00CE0D3F" w:rsidRPr="00CE0D3F" w:rsidRDefault="00CE0D3F" w:rsidP="008448F2">
      <w:pPr>
        <w:contextualSpacing/>
        <w:jc w:val="both"/>
        <w:rPr>
          <w:lang w:val="de-DE"/>
        </w:rPr>
      </w:pPr>
    </w:p>
    <w:p w14:paraId="429FEC6C" w14:textId="77777777" w:rsidR="00CE0D3F" w:rsidRPr="00CE0D3F" w:rsidRDefault="00CE0D3F" w:rsidP="008448F2">
      <w:pPr>
        <w:contextualSpacing/>
        <w:jc w:val="both"/>
        <w:rPr>
          <w:lang w:val="de-DE"/>
        </w:rPr>
      </w:pPr>
      <w:r w:rsidRPr="00CE0D3F">
        <w:rPr>
          <w:lang w:val="de-DE"/>
        </w:rPr>
        <w:tab/>
        <w:t>Aufgrund des KE/EStGB 92;</w:t>
      </w:r>
    </w:p>
    <w:p w14:paraId="0C3DD410" w14:textId="77777777" w:rsidR="00CE0D3F" w:rsidRPr="00CE0D3F" w:rsidRDefault="00CE0D3F" w:rsidP="008448F2">
      <w:pPr>
        <w:contextualSpacing/>
        <w:jc w:val="both"/>
        <w:rPr>
          <w:lang w:val="de-DE"/>
        </w:rPr>
      </w:pPr>
    </w:p>
    <w:p w14:paraId="3AFD21B6" w14:textId="77777777" w:rsidR="00CE0D3F" w:rsidRPr="00CE0D3F" w:rsidRDefault="00CE0D3F" w:rsidP="008448F2">
      <w:pPr>
        <w:contextualSpacing/>
        <w:jc w:val="both"/>
        <w:rPr>
          <w:lang w:val="de-DE"/>
        </w:rPr>
      </w:pPr>
      <w:r w:rsidRPr="00CE0D3F">
        <w:rPr>
          <w:lang w:val="de-DE"/>
        </w:rPr>
        <w:tab/>
        <w:t>Aufgrund der Stellungnahme des Finanzinspektors vom 6. April 2023;</w:t>
      </w:r>
    </w:p>
    <w:p w14:paraId="1C0309ED" w14:textId="77777777" w:rsidR="00CE0D3F" w:rsidRPr="00CE0D3F" w:rsidRDefault="00CE0D3F" w:rsidP="008448F2">
      <w:pPr>
        <w:contextualSpacing/>
        <w:jc w:val="both"/>
        <w:rPr>
          <w:lang w:val="de-DE"/>
        </w:rPr>
      </w:pPr>
    </w:p>
    <w:p w14:paraId="3BA09586" w14:textId="77777777" w:rsidR="00CE0D3F" w:rsidRPr="00CE0D3F" w:rsidRDefault="00CE0D3F" w:rsidP="008448F2">
      <w:pPr>
        <w:contextualSpacing/>
        <w:jc w:val="both"/>
        <w:rPr>
          <w:lang w:val="de-DE"/>
        </w:rPr>
      </w:pPr>
      <w:r w:rsidRPr="00CE0D3F">
        <w:rPr>
          <w:lang w:val="de-DE"/>
        </w:rPr>
        <w:tab/>
        <w:t>Aufgrund des Einverständnisses der Staatssekretärin für Haushalt vom 4. Juli 2023;</w:t>
      </w:r>
    </w:p>
    <w:p w14:paraId="1A951A03" w14:textId="77777777" w:rsidR="00CE0D3F" w:rsidRPr="00CE0D3F" w:rsidRDefault="00CE0D3F" w:rsidP="008448F2">
      <w:pPr>
        <w:contextualSpacing/>
        <w:jc w:val="both"/>
        <w:rPr>
          <w:lang w:val="de-DE"/>
        </w:rPr>
      </w:pPr>
    </w:p>
    <w:p w14:paraId="6513A0E1" w14:textId="77777777" w:rsidR="00CE0D3F" w:rsidRPr="00CE0D3F" w:rsidRDefault="00CE0D3F" w:rsidP="008448F2">
      <w:pPr>
        <w:contextualSpacing/>
        <w:jc w:val="both"/>
        <w:rPr>
          <w:lang w:val="de-DE"/>
        </w:rPr>
      </w:pPr>
      <w:r w:rsidRPr="00CE0D3F">
        <w:rPr>
          <w:lang w:val="de-DE"/>
        </w:rPr>
        <w:tab/>
        <w:t>Aufgrund des Gutachtens Nr. 74.014/1/V des Staatsrates vom 11. August 2023, abgegeben in Anwendung von Artikel 84 § 1 Absatz 1 Nr. 2 der am 12. Januar 1973 koordinierten Gesetze über den Staatsrat;</w:t>
      </w:r>
    </w:p>
    <w:p w14:paraId="3D0FD5FE" w14:textId="77777777" w:rsidR="00CE0D3F" w:rsidRPr="00CE0D3F" w:rsidRDefault="00CE0D3F" w:rsidP="008448F2">
      <w:pPr>
        <w:contextualSpacing/>
        <w:jc w:val="both"/>
        <w:rPr>
          <w:lang w:val="de-DE"/>
        </w:rPr>
      </w:pPr>
    </w:p>
    <w:p w14:paraId="23914D96" w14:textId="77777777" w:rsidR="00CE0D3F" w:rsidRPr="00CE0D3F" w:rsidRDefault="00CE0D3F" w:rsidP="008448F2">
      <w:pPr>
        <w:contextualSpacing/>
        <w:jc w:val="both"/>
        <w:rPr>
          <w:lang w:val="de-DE"/>
        </w:rPr>
      </w:pPr>
      <w:r w:rsidRPr="00CE0D3F">
        <w:rPr>
          <w:lang w:val="de-DE"/>
        </w:rPr>
        <w:tab/>
        <w:t>Auf Vorschlag des Ministers der Finanzen</w:t>
      </w:r>
    </w:p>
    <w:p w14:paraId="185A44F1" w14:textId="77777777" w:rsidR="00CE0D3F" w:rsidRPr="00CE0D3F" w:rsidRDefault="00CE0D3F" w:rsidP="008448F2">
      <w:pPr>
        <w:contextualSpacing/>
        <w:jc w:val="both"/>
        <w:rPr>
          <w:lang w:val="de-DE"/>
        </w:rPr>
      </w:pPr>
    </w:p>
    <w:p w14:paraId="5A139609" w14:textId="77777777" w:rsidR="00CE0D3F" w:rsidRPr="00CE0D3F" w:rsidRDefault="00CE0D3F" w:rsidP="008448F2">
      <w:pPr>
        <w:contextualSpacing/>
        <w:jc w:val="both"/>
        <w:rPr>
          <w:lang w:val="de-DE"/>
        </w:rPr>
      </w:pPr>
    </w:p>
    <w:p w14:paraId="3C6FB1DC" w14:textId="77777777" w:rsidR="00CE0D3F" w:rsidRPr="00CE0D3F" w:rsidRDefault="00CE0D3F" w:rsidP="008448F2">
      <w:pPr>
        <w:contextualSpacing/>
        <w:jc w:val="both"/>
        <w:rPr>
          <w:lang w:val="de-DE"/>
        </w:rPr>
      </w:pPr>
      <w:r w:rsidRPr="00CE0D3F">
        <w:rPr>
          <w:lang w:val="de-DE"/>
        </w:rPr>
        <w:tab/>
      </w:r>
      <w:r w:rsidRPr="00CE0D3F">
        <w:rPr>
          <w:lang w:val="de-DE"/>
        </w:rPr>
        <w:tab/>
        <w:t xml:space="preserve">Haben Wir beschlossen und erlassen Wir: </w:t>
      </w:r>
    </w:p>
    <w:p w14:paraId="24070F8D" w14:textId="77777777" w:rsidR="00CE0D3F" w:rsidRPr="00CE0D3F" w:rsidRDefault="00CE0D3F" w:rsidP="008448F2">
      <w:pPr>
        <w:contextualSpacing/>
        <w:jc w:val="both"/>
        <w:rPr>
          <w:lang w:val="de-DE"/>
        </w:rPr>
      </w:pPr>
    </w:p>
    <w:p w14:paraId="3DEC6AC4" w14:textId="77777777" w:rsidR="00CE0D3F" w:rsidRPr="00CE0D3F" w:rsidRDefault="00CE0D3F" w:rsidP="008448F2">
      <w:pPr>
        <w:contextualSpacing/>
        <w:jc w:val="both"/>
        <w:rPr>
          <w:lang w:val="de-DE"/>
        </w:rPr>
      </w:pPr>
    </w:p>
    <w:p w14:paraId="2C4B2001" w14:textId="77777777" w:rsidR="00CE0D3F" w:rsidRDefault="00CE0D3F">
      <w:pPr>
        <w:rPr>
          <w:lang w:val="de-DE"/>
        </w:rPr>
      </w:pPr>
      <w:r>
        <w:rPr>
          <w:lang w:val="de-DE"/>
        </w:rPr>
        <w:br w:type="page"/>
      </w:r>
    </w:p>
    <w:p w14:paraId="31C8B32D" w14:textId="3A8C1D41" w:rsidR="00CE0D3F" w:rsidRPr="00CE0D3F" w:rsidRDefault="00CE0D3F" w:rsidP="00BC53A7">
      <w:pPr>
        <w:contextualSpacing/>
        <w:jc w:val="both"/>
        <w:rPr>
          <w:lang w:val="de-DE"/>
        </w:rPr>
      </w:pPr>
      <w:r w:rsidRPr="00CE0D3F">
        <w:rPr>
          <w:lang w:val="de-DE"/>
        </w:rPr>
        <w:lastRenderedPageBreak/>
        <w:tab/>
      </w:r>
      <w:r w:rsidRPr="00CE0D3F">
        <w:rPr>
          <w:b/>
          <w:lang w:val="de-DE"/>
        </w:rPr>
        <w:t>Artikel 1</w:t>
      </w:r>
      <w:r w:rsidRPr="00CE0D3F">
        <w:rPr>
          <w:lang w:val="de-DE"/>
        </w:rPr>
        <w:t> - In Kapitel 3 Abschnitt 17 des KE/EStGB 92 wird ein Artikel 229/7 mit folgendem Wortlaut eingefügt:</w:t>
      </w:r>
    </w:p>
    <w:p w14:paraId="7B8E943E" w14:textId="77777777" w:rsidR="00CE0D3F" w:rsidRPr="00CE0D3F" w:rsidRDefault="00CE0D3F" w:rsidP="008448F2">
      <w:pPr>
        <w:contextualSpacing/>
        <w:jc w:val="both"/>
        <w:rPr>
          <w:lang w:val="de-DE"/>
        </w:rPr>
      </w:pPr>
    </w:p>
    <w:p w14:paraId="27DA18FE" w14:textId="77777777" w:rsidR="00CE0D3F" w:rsidRPr="00CE0D3F" w:rsidRDefault="00CE0D3F" w:rsidP="00BC53A7">
      <w:pPr>
        <w:contextualSpacing/>
        <w:jc w:val="both"/>
        <w:rPr>
          <w:lang w:val="de-DE"/>
        </w:rPr>
      </w:pPr>
      <w:r w:rsidRPr="00CE0D3F">
        <w:rPr>
          <w:lang w:val="de-DE"/>
        </w:rPr>
        <w:tab/>
        <w:t>"Art. 229/7 - Die Skala der administrativen Geldbußen für die in Artikel 445 § 5 des Einkommensteuergesetzbuches 1992 erwähnten Verstöße wird wie folgt festgelegt:</w:t>
      </w:r>
    </w:p>
    <w:p w14:paraId="74FD9586" w14:textId="77777777" w:rsidR="00CE0D3F" w:rsidRPr="00CE0D3F" w:rsidRDefault="00CE0D3F" w:rsidP="00BC53A7">
      <w:pPr>
        <w:contextualSpacing/>
        <w:jc w:val="both"/>
        <w:rPr>
          <w:lang w:val="de-DE"/>
        </w:rPr>
      </w:pPr>
    </w:p>
    <w:p w14:paraId="3F5E19EF" w14:textId="77777777" w:rsidR="00CE0D3F" w:rsidRPr="00CE0D3F" w:rsidRDefault="00CE0D3F" w:rsidP="00BC53A7">
      <w:pPr>
        <w:contextualSpacing/>
        <w:jc w:val="both"/>
        <w:rPr>
          <w:lang w:val="de-DE"/>
        </w:rPr>
      </w:pPr>
      <w:r w:rsidRPr="00CE0D3F">
        <w:rPr>
          <w:lang w:val="de-DE"/>
        </w:rPr>
        <w:tab/>
        <w:t>Tabelle</w:t>
      </w:r>
    </w:p>
    <w:p w14:paraId="1815C12A" w14:textId="77777777" w:rsidR="00CE0D3F" w:rsidRPr="00CE0D3F" w:rsidRDefault="00CE0D3F" w:rsidP="008448F2">
      <w:pPr>
        <w:contextualSpacing/>
        <w:jc w:val="both"/>
        <w:rPr>
          <w:lang w:val="de-DE"/>
        </w:rPr>
      </w:pPr>
    </w:p>
    <w:tbl>
      <w:tblPr>
        <w:tblStyle w:val="Grilledutableau"/>
        <w:tblW w:w="10490" w:type="dxa"/>
        <w:tblInd w:w="-714" w:type="dxa"/>
        <w:tblLook w:val="04A0" w:firstRow="1" w:lastRow="0" w:firstColumn="1" w:lastColumn="0" w:noHBand="0" w:noVBand="1"/>
      </w:tblPr>
      <w:tblGrid>
        <w:gridCol w:w="5812"/>
        <w:gridCol w:w="2694"/>
        <w:gridCol w:w="1984"/>
      </w:tblGrid>
      <w:tr w:rsidR="00CE0D3F" w:rsidRPr="00CE0D3F" w14:paraId="490401DE" w14:textId="77777777" w:rsidTr="002C00A7">
        <w:tc>
          <w:tcPr>
            <w:tcW w:w="5812" w:type="dxa"/>
            <w:vAlign w:val="center"/>
            <w:hideMark/>
          </w:tcPr>
          <w:p w14:paraId="15A02BD9" w14:textId="77777777" w:rsidR="00CE0D3F" w:rsidRPr="00CE0D3F" w:rsidRDefault="00CE0D3F" w:rsidP="00E81742">
            <w:pPr>
              <w:spacing w:before="40"/>
              <w:contextualSpacing/>
              <w:jc w:val="center"/>
              <w:rPr>
                <w:rFonts w:ascii="Times New Roman" w:hAnsi="Times New Roman" w:cs="Times New Roman"/>
                <w:lang w:val="de-DE"/>
              </w:rPr>
            </w:pPr>
            <w:r w:rsidRPr="00CE0D3F">
              <w:rPr>
                <w:rFonts w:ascii="Times New Roman" w:hAnsi="Times New Roman"/>
                <w:lang w:val="de-DE"/>
              </w:rPr>
              <w:t>Art der Verstöße</w:t>
            </w:r>
          </w:p>
        </w:tc>
        <w:tc>
          <w:tcPr>
            <w:tcW w:w="2694" w:type="dxa"/>
            <w:vAlign w:val="center"/>
            <w:hideMark/>
          </w:tcPr>
          <w:p w14:paraId="3CBED12A" w14:textId="77777777" w:rsidR="00CE0D3F" w:rsidRPr="00CE0D3F" w:rsidRDefault="00CE0D3F" w:rsidP="00E81742">
            <w:pPr>
              <w:spacing w:before="120"/>
              <w:contextualSpacing/>
              <w:jc w:val="both"/>
              <w:rPr>
                <w:rFonts w:ascii="Times New Roman" w:hAnsi="Times New Roman"/>
                <w:lang w:val="de-DE"/>
              </w:rPr>
            </w:pPr>
            <w:r w:rsidRPr="00CE0D3F">
              <w:rPr>
                <w:rFonts w:ascii="Times New Roman" w:hAnsi="Times New Roman"/>
                <w:lang w:val="de-DE"/>
              </w:rPr>
              <w:t>Betrag des neuen KE</w:t>
            </w:r>
          </w:p>
        </w:tc>
        <w:tc>
          <w:tcPr>
            <w:tcW w:w="1984" w:type="dxa"/>
            <w:vAlign w:val="center"/>
            <w:hideMark/>
          </w:tcPr>
          <w:p w14:paraId="7F6B0DF9" w14:textId="77777777" w:rsidR="00CE0D3F" w:rsidRPr="00CE0D3F" w:rsidRDefault="00CE0D3F" w:rsidP="0062524D">
            <w:pPr>
              <w:contextualSpacing/>
              <w:jc w:val="center"/>
              <w:rPr>
                <w:rFonts w:ascii="Times New Roman" w:hAnsi="Times New Roman" w:cs="Times New Roman"/>
                <w:lang w:val="de-DE"/>
              </w:rPr>
            </w:pPr>
            <w:r w:rsidRPr="00CE0D3F">
              <w:rPr>
                <w:rFonts w:ascii="Times New Roman" w:hAnsi="Times New Roman"/>
                <w:lang w:val="de-DE"/>
              </w:rPr>
              <w:t>Betrag der Geldbuße</w:t>
            </w:r>
          </w:p>
        </w:tc>
      </w:tr>
      <w:tr w:rsidR="00CE0D3F" w:rsidRPr="00CE0D3F" w14:paraId="0DD67C99" w14:textId="77777777" w:rsidTr="00AF740D">
        <w:trPr>
          <w:trHeight w:val="836"/>
        </w:trPr>
        <w:tc>
          <w:tcPr>
            <w:tcW w:w="5812" w:type="dxa"/>
            <w:hideMark/>
          </w:tcPr>
          <w:p w14:paraId="39C87798" w14:textId="77777777" w:rsidR="00CE0D3F" w:rsidRPr="00CE0D3F" w:rsidRDefault="00CE0D3F" w:rsidP="00E81742">
            <w:pPr>
              <w:spacing w:before="80"/>
              <w:contextualSpacing/>
              <w:jc w:val="both"/>
              <w:rPr>
                <w:rFonts w:ascii="Times New Roman" w:hAnsi="Times New Roman" w:cs="Times New Roman"/>
                <w:lang w:val="de-DE"/>
              </w:rPr>
            </w:pPr>
            <w:r w:rsidRPr="00CE0D3F">
              <w:rPr>
                <w:rFonts w:ascii="Times New Roman" w:hAnsi="Times New Roman"/>
                <w:lang w:val="de-DE"/>
              </w:rPr>
              <w:t>A. Verstoß gegen Artikel 473 des Einkommensteuergesetz</w:t>
            </w:r>
            <w:r w:rsidRPr="00CE0D3F">
              <w:rPr>
                <w:rFonts w:ascii="Times New Roman" w:hAnsi="Times New Roman"/>
                <w:lang w:val="de-DE"/>
              </w:rPr>
              <w:softHyphen/>
              <w:t xml:space="preserve">buches 1992 aus Gründen, die unabhängig vom Willen des Steuerpflichtigen sind: </w:t>
            </w:r>
          </w:p>
        </w:tc>
        <w:tc>
          <w:tcPr>
            <w:tcW w:w="2694" w:type="dxa"/>
            <w:hideMark/>
          </w:tcPr>
          <w:p w14:paraId="5AA0C2CE" w14:textId="77777777" w:rsidR="00CE0D3F" w:rsidRPr="00CE0D3F" w:rsidRDefault="00CE0D3F" w:rsidP="00AF740D">
            <w:pPr>
              <w:contextualSpacing/>
              <w:jc w:val="center"/>
              <w:rPr>
                <w:rFonts w:ascii="Times New Roman" w:hAnsi="Times New Roman"/>
                <w:lang w:val="de-DE"/>
              </w:rPr>
            </w:pPr>
          </w:p>
          <w:p w14:paraId="645E48B4" w14:textId="77777777" w:rsidR="00CE0D3F" w:rsidRPr="00CE0D3F" w:rsidRDefault="00CE0D3F" w:rsidP="00AF740D">
            <w:pPr>
              <w:contextualSpacing/>
              <w:jc w:val="center"/>
              <w:rPr>
                <w:rFonts w:ascii="Times New Roman" w:hAnsi="Times New Roman" w:cs="Times New Roman"/>
                <w:lang w:val="de-DE"/>
              </w:rPr>
            </w:pPr>
            <w:r w:rsidRPr="00CE0D3F">
              <w:rPr>
                <w:rFonts w:ascii="Times New Roman" w:hAnsi="Times New Roman"/>
                <w:lang w:val="de-DE"/>
              </w:rPr>
              <w:t>/</w:t>
            </w:r>
          </w:p>
        </w:tc>
        <w:tc>
          <w:tcPr>
            <w:tcW w:w="1984" w:type="dxa"/>
            <w:hideMark/>
          </w:tcPr>
          <w:p w14:paraId="10180280" w14:textId="77777777" w:rsidR="00CE0D3F" w:rsidRPr="00CE0D3F" w:rsidRDefault="00CE0D3F" w:rsidP="00AF740D">
            <w:pPr>
              <w:contextualSpacing/>
              <w:jc w:val="center"/>
              <w:rPr>
                <w:rFonts w:ascii="Times New Roman" w:hAnsi="Times New Roman"/>
                <w:lang w:val="de-DE"/>
              </w:rPr>
            </w:pPr>
          </w:p>
          <w:p w14:paraId="0424AB91" w14:textId="77777777" w:rsidR="00CE0D3F" w:rsidRPr="00CE0D3F" w:rsidRDefault="00CE0D3F" w:rsidP="00AF740D">
            <w:pPr>
              <w:contextualSpacing/>
              <w:jc w:val="center"/>
              <w:rPr>
                <w:rFonts w:ascii="Times New Roman" w:hAnsi="Times New Roman" w:cs="Times New Roman"/>
                <w:lang w:val="de-DE"/>
              </w:rPr>
            </w:pPr>
            <w:r w:rsidRPr="00CE0D3F">
              <w:rPr>
                <w:rFonts w:ascii="Times New Roman" w:hAnsi="Times New Roman"/>
                <w:lang w:val="de-DE"/>
              </w:rPr>
              <w:t>Entfällt</w:t>
            </w:r>
          </w:p>
        </w:tc>
      </w:tr>
      <w:tr w:rsidR="00CE0D3F" w:rsidRPr="00CE0D3F" w14:paraId="66CE5010" w14:textId="77777777" w:rsidTr="002C00A7">
        <w:tc>
          <w:tcPr>
            <w:tcW w:w="5812" w:type="dxa"/>
            <w:tcBorders>
              <w:bottom w:val="single" w:sz="4" w:space="0" w:color="auto"/>
            </w:tcBorders>
          </w:tcPr>
          <w:p w14:paraId="78769F6B" w14:textId="77777777" w:rsidR="00CE0D3F" w:rsidRPr="00CE0D3F" w:rsidRDefault="00CE0D3F" w:rsidP="00E81742">
            <w:pPr>
              <w:spacing w:before="80"/>
              <w:contextualSpacing/>
              <w:jc w:val="both"/>
              <w:rPr>
                <w:rFonts w:ascii="Times New Roman" w:hAnsi="Times New Roman" w:cs="Times New Roman"/>
                <w:lang w:val="de-DE"/>
              </w:rPr>
            </w:pPr>
          </w:p>
        </w:tc>
        <w:tc>
          <w:tcPr>
            <w:tcW w:w="2694" w:type="dxa"/>
          </w:tcPr>
          <w:p w14:paraId="79CEC1A8" w14:textId="77777777" w:rsidR="00CE0D3F" w:rsidRPr="00CE0D3F" w:rsidRDefault="00CE0D3F" w:rsidP="008448F2">
            <w:pPr>
              <w:contextualSpacing/>
              <w:jc w:val="both"/>
              <w:rPr>
                <w:rFonts w:ascii="Times New Roman" w:hAnsi="Times New Roman" w:cs="Times New Roman"/>
                <w:lang w:val="de-DE"/>
              </w:rPr>
            </w:pPr>
          </w:p>
        </w:tc>
        <w:tc>
          <w:tcPr>
            <w:tcW w:w="1984" w:type="dxa"/>
          </w:tcPr>
          <w:p w14:paraId="0BE8388E" w14:textId="77777777" w:rsidR="00CE0D3F" w:rsidRPr="00CE0D3F" w:rsidRDefault="00CE0D3F" w:rsidP="0062524D">
            <w:pPr>
              <w:contextualSpacing/>
              <w:jc w:val="center"/>
              <w:rPr>
                <w:rFonts w:ascii="Times New Roman" w:hAnsi="Times New Roman" w:cs="Times New Roman"/>
                <w:lang w:val="de-DE"/>
              </w:rPr>
            </w:pPr>
          </w:p>
        </w:tc>
      </w:tr>
      <w:tr w:rsidR="00CE0D3F" w:rsidRPr="00CE0D3F" w14:paraId="05881EC9" w14:textId="77777777" w:rsidTr="002C00A7">
        <w:trPr>
          <w:trHeight w:val="1074"/>
        </w:trPr>
        <w:tc>
          <w:tcPr>
            <w:tcW w:w="5812" w:type="dxa"/>
            <w:tcBorders>
              <w:bottom w:val="nil"/>
            </w:tcBorders>
            <w:hideMark/>
          </w:tcPr>
          <w:p w14:paraId="13E263A9"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B. Verspätete Einreichung oder Nichtabgabe der Erklärung der Ereignisse, die in Artikel 473 § 1 Absatz 1 erster bis dritter Gedankenstrich des Einkommensteuergesetzbuches 1992 er</w:t>
            </w:r>
            <w:r w:rsidRPr="00CE0D3F">
              <w:rPr>
                <w:rFonts w:ascii="Times New Roman" w:hAnsi="Times New Roman"/>
                <w:lang w:val="de-DE"/>
              </w:rPr>
              <w:softHyphen/>
              <w:t>wähnt sind:</w:t>
            </w:r>
          </w:p>
        </w:tc>
        <w:tc>
          <w:tcPr>
            <w:tcW w:w="2694" w:type="dxa"/>
            <w:tcBorders>
              <w:bottom w:val="nil"/>
            </w:tcBorders>
            <w:vAlign w:val="center"/>
            <w:hideMark/>
          </w:tcPr>
          <w:p w14:paraId="6F1608CF" w14:textId="77777777" w:rsidR="00CE0D3F" w:rsidRPr="00CE0D3F" w:rsidRDefault="00CE0D3F" w:rsidP="008448F2">
            <w:pPr>
              <w:contextualSpacing/>
              <w:jc w:val="both"/>
              <w:rPr>
                <w:rFonts w:ascii="Times New Roman" w:hAnsi="Times New Roman"/>
                <w:lang w:val="de-DE"/>
              </w:rPr>
            </w:pPr>
          </w:p>
          <w:p w14:paraId="3B5CD2CD"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KE &lt; 745 EUR</w:t>
            </w:r>
          </w:p>
        </w:tc>
        <w:tc>
          <w:tcPr>
            <w:tcW w:w="1984" w:type="dxa"/>
            <w:tcBorders>
              <w:bottom w:val="nil"/>
            </w:tcBorders>
            <w:vAlign w:val="center"/>
            <w:hideMark/>
          </w:tcPr>
          <w:p w14:paraId="730FE7FF" w14:textId="77777777" w:rsidR="00CE0D3F" w:rsidRPr="00CE0D3F" w:rsidRDefault="00CE0D3F" w:rsidP="0062524D">
            <w:pPr>
              <w:contextualSpacing/>
              <w:jc w:val="center"/>
              <w:rPr>
                <w:rFonts w:ascii="Times New Roman" w:hAnsi="Times New Roman"/>
                <w:lang w:val="de-DE"/>
              </w:rPr>
            </w:pPr>
          </w:p>
          <w:p w14:paraId="4444268F" w14:textId="77777777" w:rsidR="00CE0D3F" w:rsidRPr="00CE0D3F" w:rsidRDefault="00CE0D3F" w:rsidP="0062524D">
            <w:pPr>
              <w:contextualSpacing/>
              <w:jc w:val="center"/>
              <w:rPr>
                <w:rFonts w:ascii="Times New Roman" w:hAnsi="Times New Roman" w:cs="Times New Roman"/>
                <w:lang w:val="de-DE"/>
              </w:rPr>
            </w:pPr>
            <w:r w:rsidRPr="00CE0D3F">
              <w:rPr>
                <w:rFonts w:ascii="Times New Roman" w:hAnsi="Times New Roman"/>
                <w:lang w:val="de-DE"/>
              </w:rPr>
              <w:t>1.000 EUR</w:t>
            </w:r>
          </w:p>
        </w:tc>
      </w:tr>
      <w:tr w:rsidR="00CE0D3F" w:rsidRPr="00CE0D3F" w14:paraId="0ED752E5" w14:textId="77777777" w:rsidTr="002C00A7">
        <w:trPr>
          <w:trHeight w:val="640"/>
        </w:trPr>
        <w:tc>
          <w:tcPr>
            <w:tcW w:w="5812" w:type="dxa"/>
            <w:tcBorders>
              <w:top w:val="nil"/>
              <w:bottom w:val="nil"/>
            </w:tcBorders>
            <w:hideMark/>
          </w:tcPr>
          <w:p w14:paraId="5211A889"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w:t>
            </w:r>
          </w:p>
        </w:tc>
        <w:tc>
          <w:tcPr>
            <w:tcW w:w="2694" w:type="dxa"/>
            <w:tcBorders>
              <w:top w:val="nil"/>
              <w:bottom w:val="nil"/>
            </w:tcBorders>
            <w:hideMark/>
          </w:tcPr>
          <w:p w14:paraId="0A7B6D5C" w14:textId="77777777" w:rsidR="00CE0D3F" w:rsidRPr="00CE0D3F" w:rsidRDefault="00CE0D3F" w:rsidP="00BC53A7">
            <w:pPr>
              <w:contextualSpacing/>
              <w:rPr>
                <w:rFonts w:ascii="Times New Roman" w:hAnsi="Times New Roman" w:cs="Times New Roman"/>
                <w:lang w:val="de-DE"/>
              </w:rPr>
            </w:pPr>
            <w:r w:rsidRPr="00CE0D3F">
              <w:rPr>
                <w:rFonts w:ascii="Times New Roman" w:hAnsi="Times New Roman"/>
                <w:lang w:val="de-DE"/>
              </w:rPr>
              <w:t>- KE ab 745 EUR und unter 2.500 EUR</w:t>
            </w:r>
          </w:p>
        </w:tc>
        <w:tc>
          <w:tcPr>
            <w:tcW w:w="1984" w:type="dxa"/>
            <w:tcBorders>
              <w:top w:val="nil"/>
              <w:bottom w:val="nil"/>
            </w:tcBorders>
            <w:hideMark/>
          </w:tcPr>
          <w:p w14:paraId="3C1F10E1" w14:textId="77777777" w:rsidR="00CE0D3F" w:rsidRPr="00CE0D3F" w:rsidRDefault="00CE0D3F" w:rsidP="00BC53A7">
            <w:pPr>
              <w:contextualSpacing/>
              <w:jc w:val="center"/>
              <w:rPr>
                <w:rFonts w:ascii="Times New Roman" w:hAnsi="Times New Roman" w:cs="Times New Roman"/>
                <w:lang w:val="de-DE"/>
              </w:rPr>
            </w:pPr>
            <w:r w:rsidRPr="00CE0D3F">
              <w:rPr>
                <w:rFonts w:ascii="Times New Roman" w:hAnsi="Times New Roman"/>
                <w:lang w:val="de-DE"/>
              </w:rPr>
              <w:t>2.000 EUR</w:t>
            </w:r>
          </w:p>
        </w:tc>
      </w:tr>
      <w:tr w:rsidR="00CE0D3F" w:rsidRPr="00CE0D3F" w14:paraId="2FCB8013" w14:textId="77777777" w:rsidTr="002C00A7">
        <w:trPr>
          <w:trHeight w:val="345"/>
        </w:trPr>
        <w:tc>
          <w:tcPr>
            <w:tcW w:w="5812" w:type="dxa"/>
            <w:tcBorders>
              <w:top w:val="nil"/>
              <w:bottom w:val="single" w:sz="4" w:space="0" w:color="auto"/>
            </w:tcBorders>
            <w:hideMark/>
          </w:tcPr>
          <w:p w14:paraId="7593D5C8" w14:textId="77777777" w:rsidR="00CE0D3F" w:rsidRPr="00CE0D3F" w:rsidRDefault="00CE0D3F" w:rsidP="008448F2">
            <w:pPr>
              <w:contextualSpacing/>
              <w:jc w:val="both"/>
              <w:rPr>
                <w:rFonts w:ascii="Times New Roman" w:hAnsi="Times New Roman"/>
                <w:lang w:val="de-DE"/>
              </w:rPr>
            </w:pPr>
            <w:r w:rsidRPr="00CE0D3F">
              <w:rPr>
                <w:rFonts w:ascii="Times New Roman" w:hAnsi="Times New Roman"/>
                <w:lang w:val="de-DE"/>
              </w:rPr>
              <w:t> </w:t>
            </w:r>
          </w:p>
        </w:tc>
        <w:tc>
          <w:tcPr>
            <w:tcW w:w="2694" w:type="dxa"/>
            <w:tcBorders>
              <w:top w:val="nil"/>
            </w:tcBorders>
            <w:hideMark/>
          </w:tcPr>
          <w:p w14:paraId="437D5B82" w14:textId="77777777" w:rsidR="00CE0D3F" w:rsidRPr="00CE0D3F" w:rsidRDefault="00CE0D3F" w:rsidP="00BC53A7">
            <w:pPr>
              <w:contextualSpacing/>
              <w:rPr>
                <w:rFonts w:ascii="Times New Roman" w:hAnsi="Times New Roman"/>
                <w:lang w:val="de-DE"/>
              </w:rPr>
            </w:pPr>
            <w:r w:rsidRPr="00CE0D3F">
              <w:rPr>
                <w:rFonts w:ascii="Times New Roman" w:hAnsi="Times New Roman"/>
                <w:lang w:val="de-DE"/>
              </w:rPr>
              <w:t>- KE &gt; oder = 2.500 EUR</w:t>
            </w:r>
          </w:p>
        </w:tc>
        <w:tc>
          <w:tcPr>
            <w:tcW w:w="1984" w:type="dxa"/>
            <w:tcBorders>
              <w:top w:val="nil"/>
            </w:tcBorders>
            <w:hideMark/>
          </w:tcPr>
          <w:p w14:paraId="3B2C5BD3" w14:textId="77777777" w:rsidR="00CE0D3F" w:rsidRPr="00CE0D3F" w:rsidRDefault="00CE0D3F" w:rsidP="00BC53A7">
            <w:pPr>
              <w:contextualSpacing/>
              <w:jc w:val="center"/>
              <w:rPr>
                <w:rFonts w:ascii="Times New Roman" w:hAnsi="Times New Roman"/>
                <w:lang w:val="de-DE"/>
              </w:rPr>
            </w:pPr>
            <w:r w:rsidRPr="00CE0D3F">
              <w:rPr>
                <w:rFonts w:ascii="Times New Roman" w:hAnsi="Times New Roman"/>
                <w:lang w:val="de-DE"/>
              </w:rPr>
              <w:t>3.000 EUR</w:t>
            </w:r>
          </w:p>
        </w:tc>
      </w:tr>
      <w:tr w:rsidR="00CE0D3F" w:rsidRPr="00CE0D3F" w14:paraId="778E5508" w14:textId="77777777" w:rsidTr="002C00A7">
        <w:tc>
          <w:tcPr>
            <w:tcW w:w="5812" w:type="dxa"/>
            <w:tcBorders>
              <w:top w:val="single" w:sz="4" w:space="0" w:color="auto"/>
            </w:tcBorders>
          </w:tcPr>
          <w:p w14:paraId="2CFD2B40" w14:textId="77777777" w:rsidR="00CE0D3F" w:rsidRPr="00CE0D3F" w:rsidRDefault="00CE0D3F" w:rsidP="008448F2">
            <w:pPr>
              <w:contextualSpacing/>
              <w:jc w:val="both"/>
              <w:rPr>
                <w:rFonts w:ascii="Times New Roman" w:hAnsi="Times New Roman" w:cs="Times New Roman"/>
                <w:lang w:val="de-DE"/>
              </w:rPr>
            </w:pPr>
          </w:p>
        </w:tc>
        <w:tc>
          <w:tcPr>
            <w:tcW w:w="2694" w:type="dxa"/>
            <w:tcBorders>
              <w:top w:val="nil"/>
              <w:bottom w:val="single" w:sz="4" w:space="0" w:color="auto"/>
            </w:tcBorders>
          </w:tcPr>
          <w:p w14:paraId="077101A2" w14:textId="77777777" w:rsidR="00CE0D3F" w:rsidRPr="00CE0D3F" w:rsidRDefault="00CE0D3F" w:rsidP="008448F2">
            <w:pPr>
              <w:contextualSpacing/>
              <w:jc w:val="both"/>
              <w:rPr>
                <w:rFonts w:ascii="Times New Roman" w:hAnsi="Times New Roman" w:cs="Times New Roman"/>
                <w:lang w:val="de-DE"/>
              </w:rPr>
            </w:pPr>
          </w:p>
        </w:tc>
        <w:tc>
          <w:tcPr>
            <w:tcW w:w="1984" w:type="dxa"/>
            <w:tcBorders>
              <w:top w:val="nil"/>
              <w:bottom w:val="single" w:sz="4" w:space="0" w:color="auto"/>
            </w:tcBorders>
          </w:tcPr>
          <w:p w14:paraId="15584CFD" w14:textId="77777777" w:rsidR="00CE0D3F" w:rsidRPr="00CE0D3F" w:rsidRDefault="00CE0D3F" w:rsidP="0062524D">
            <w:pPr>
              <w:contextualSpacing/>
              <w:jc w:val="center"/>
              <w:rPr>
                <w:rFonts w:ascii="Times New Roman" w:hAnsi="Times New Roman" w:cs="Times New Roman"/>
                <w:lang w:val="de-DE"/>
              </w:rPr>
            </w:pPr>
          </w:p>
        </w:tc>
      </w:tr>
      <w:tr w:rsidR="00CE0D3F" w:rsidRPr="00CE0D3F" w14:paraId="1E0D383B" w14:textId="77777777" w:rsidTr="002C00A7">
        <w:trPr>
          <w:trHeight w:val="1591"/>
        </w:trPr>
        <w:tc>
          <w:tcPr>
            <w:tcW w:w="5812" w:type="dxa"/>
            <w:tcBorders>
              <w:bottom w:val="nil"/>
            </w:tcBorders>
            <w:hideMark/>
          </w:tcPr>
          <w:p w14:paraId="2A610CEB"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C. Verspätete Einreichung oder Nichtabgabe der Erklärung der Ingebrauchnahme von neuem oder hinzugefügtem Material oder neuer oder hinzugefügter Ausrüstung und der Änderung oder definitiven Außergebrauchsetzung von Material oder Aus</w:t>
            </w:r>
            <w:r w:rsidRPr="00CE0D3F">
              <w:rPr>
                <w:rFonts w:ascii="Times New Roman" w:hAnsi="Times New Roman"/>
                <w:lang w:val="de-DE"/>
              </w:rPr>
              <w:softHyphen/>
              <w:t>rüstung (Art. 473 § 1 Absatz 1 vierter Gedankenstrich des Einkommensteuergesetzbuches 1992):</w:t>
            </w:r>
          </w:p>
        </w:tc>
        <w:tc>
          <w:tcPr>
            <w:tcW w:w="2694" w:type="dxa"/>
            <w:tcBorders>
              <w:bottom w:val="nil"/>
            </w:tcBorders>
            <w:hideMark/>
          </w:tcPr>
          <w:p w14:paraId="68395455" w14:textId="77777777" w:rsidR="00CE0D3F" w:rsidRPr="00CE0D3F" w:rsidRDefault="00CE0D3F" w:rsidP="002741B1">
            <w:pPr>
              <w:contextualSpacing/>
              <w:rPr>
                <w:rFonts w:ascii="Times New Roman" w:hAnsi="Times New Roman"/>
                <w:lang w:val="de-DE"/>
              </w:rPr>
            </w:pPr>
          </w:p>
          <w:p w14:paraId="7A652D39" w14:textId="77777777" w:rsidR="00CE0D3F" w:rsidRPr="00CE0D3F" w:rsidRDefault="00CE0D3F" w:rsidP="002741B1">
            <w:pPr>
              <w:contextualSpacing/>
              <w:rPr>
                <w:rFonts w:ascii="Times New Roman" w:hAnsi="Times New Roman"/>
                <w:lang w:val="de-DE"/>
              </w:rPr>
            </w:pPr>
          </w:p>
          <w:p w14:paraId="1684D693" w14:textId="77777777" w:rsidR="00CE0D3F" w:rsidRPr="00CE0D3F" w:rsidRDefault="00CE0D3F" w:rsidP="002741B1">
            <w:pPr>
              <w:contextualSpacing/>
              <w:rPr>
                <w:rFonts w:ascii="Times New Roman" w:hAnsi="Times New Roman"/>
                <w:lang w:val="de-DE"/>
              </w:rPr>
            </w:pPr>
          </w:p>
          <w:p w14:paraId="01288A6A" w14:textId="77777777" w:rsidR="00CE0D3F" w:rsidRPr="00CE0D3F" w:rsidRDefault="00CE0D3F" w:rsidP="002741B1">
            <w:pPr>
              <w:contextualSpacing/>
              <w:rPr>
                <w:rFonts w:ascii="Times New Roman" w:hAnsi="Times New Roman"/>
                <w:lang w:val="de-DE"/>
              </w:rPr>
            </w:pPr>
          </w:p>
          <w:p w14:paraId="0B52C327" w14:textId="77777777" w:rsidR="00CE0D3F" w:rsidRPr="00CE0D3F" w:rsidRDefault="00CE0D3F" w:rsidP="002741B1">
            <w:pPr>
              <w:contextualSpacing/>
              <w:rPr>
                <w:rFonts w:ascii="Times New Roman" w:hAnsi="Times New Roman" w:cs="Times New Roman"/>
                <w:lang w:val="de-DE"/>
              </w:rPr>
            </w:pPr>
            <w:r w:rsidRPr="00CE0D3F">
              <w:rPr>
                <w:rFonts w:ascii="Times New Roman" w:hAnsi="Times New Roman"/>
                <w:lang w:val="de-DE"/>
              </w:rPr>
              <w:t>- KE &lt; 159 EUR</w:t>
            </w:r>
          </w:p>
        </w:tc>
        <w:tc>
          <w:tcPr>
            <w:tcW w:w="1984" w:type="dxa"/>
            <w:tcBorders>
              <w:bottom w:val="nil"/>
            </w:tcBorders>
            <w:hideMark/>
          </w:tcPr>
          <w:p w14:paraId="01155CF4" w14:textId="77777777" w:rsidR="00CE0D3F" w:rsidRPr="00CE0D3F" w:rsidRDefault="00CE0D3F" w:rsidP="002741B1">
            <w:pPr>
              <w:contextualSpacing/>
              <w:jc w:val="center"/>
              <w:rPr>
                <w:rFonts w:ascii="Times New Roman" w:hAnsi="Times New Roman"/>
                <w:lang w:val="de-DE"/>
              </w:rPr>
            </w:pPr>
          </w:p>
          <w:p w14:paraId="2B9BBAF2" w14:textId="77777777" w:rsidR="00CE0D3F" w:rsidRPr="00CE0D3F" w:rsidRDefault="00CE0D3F" w:rsidP="002741B1">
            <w:pPr>
              <w:contextualSpacing/>
              <w:jc w:val="center"/>
              <w:rPr>
                <w:rFonts w:ascii="Times New Roman" w:hAnsi="Times New Roman"/>
                <w:lang w:val="de-DE"/>
              </w:rPr>
            </w:pPr>
          </w:p>
          <w:p w14:paraId="105F9DE3" w14:textId="77777777" w:rsidR="00CE0D3F" w:rsidRPr="00CE0D3F" w:rsidRDefault="00CE0D3F" w:rsidP="002741B1">
            <w:pPr>
              <w:contextualSpacing/>
              <w:jc w:val="center"/>
              <w:rPr>
                <w:rFonts w:ascii="Times New Roman" w:hAnsi="Times New Roman"/>
                <w:lang w:val="de-DE"/>
              </w:rPr>
            </w:pPr>
          </w:p>
          <w:p w14:paraId="3F38CB22" w14:textId="77777777" w:rsidR="00CE0D3F" w:rsidRPr="00CE0D3F" w:rsidRDefault="00CE0D3F" w:rsidP="002741B1">
            <w:pPr>
              <w:contextualSpacing/>
              <w:jc w:val="center"/>
              <w:rPr>
                <w:rFonts w:ascii="Times New Roman" w:hAnsi="Times New Roman"/>
                <w:lang w:val="de-DE"/>
              </w:rPr>
            </w:pPr>
          </w:p>
          <w:p w14:paraId="00D59DA3"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Entfällt</w:t>
            </w:r>
          </w:p>
        </w:tc>
      </w:tr>
      <w:tr w:rsidR="00CE0D3F" w:rsidRPr="00CE0D3F" w14:paraId="409992CF" w14:textId="77777777" w:rsidTr="002C00A7">
        <w:trPr>
          <w:trHeight w:val="630"/>
        </w:trPr>
        <w:tc>
          <w:tcPr>
            <w:tcW w:w="5812" w:type="dxa"/>
            <w:tcBorders>
              <w:top w:val="nil"/>
              <w:bottom w:val="nil"/>
            </w:tcBorders>
            <w:hideMark/>
          </w:tcPr>
          <w:p w14:paraId="7C32E3E2"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w:t>
            </w:r>
          </w:p>
        </w:tc>
        <w:tc>
          <w:tcPr>
            <w:tcW w:w="2694" w:type="dxa"/>
            <w:tcBorders>
              <w:top w:val="nil"/>
              <w:bottom w:val="nil"/>
            </w:tcBorders>
            <w:hideMark/>
          </w:tcPr>
          <w:p w14:paraId="475D4023" w14:textId="77777777" w:rsidR="00CE0D3F" w:rsidRPr="00CE0D3F" w:rsidRDefault="00CE0D3F" w:rsidP="002741B1">
            <w:pPr>
              <w:contextualSpacing/>
              <w:rPr>
                <w:rFonts w:ascii="Times New Roman" w:hAnsi="Times New Roman" w:cs="Times New Roman"/>
                <w:lang w:val="de-DE"/>
              </w:rPr>
            </w:pPr>
            <w:r w:rsidRPr="00CE0D3F">
              <w:rPr>
                <w:rFonts w:ascii="Times New Roman" w:hAnsi="Times New Roman"/>
                <w:lang w:val="de-DE"/>
              </w:rPr>
              <w:t xml:space="preserve">- KE ab 159 EUR und unter 745 EUR </w:t>
            </w:r>
          </w:p>
        </w:tc>
        <w:tc>
          <w:tcPr>
            <w:tcW w:w="1984" w:type="dxa"/>
            <w:tcBorders>
              <w:top w:val="nil"/>
              <w:bottom w:val="nil"/>
            </w:tcBorders>
            <w:hideMark/>
          </w:tcPr>
          <w:p w14:paraId="5F7257A7"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1.000 EUR</w:t>
            </w:r>
          </w:p>
        </w:tc>
      </w:tr>
      <w:tr w:rsidR="00CE0D3F" w:rsidRPr="00CE0D3F" w14:paraId="0CF91597" w14:textId="77777777" w:rsidTr="002C00A7">
        <w:trPr>
          <w:trHeight w:val="580"/>
        </w:trPr>
        <w:tc>
          <w:tcPr>
            <w:tcW w:w="5812" w:type="dxa"/>
            <w:tcBorders>
              <w:top w:val="nil"/>
              <w:bottom w:val="nil"/>
            </w:tcBorders>
            <w:hideMark/>
          </w:tcPr>
          <w:p w14:paraId="5EA1F3AD"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w:t>
            </w:r>
          </w:p>
        </w:tc>
        <w:tc>
          <w:tcPr>
            <w:tcW w:w="2694" w:type="dxa"/>
            <w:tcBorders>
              <w:top w:val="nil"/>
              <w:bottom w:val="nil"/>
            </w:tcBorders>
            <w:hideMark/>
          </w:tcPr>
          <w:p w14:paraId="060E23F2" w14:textId="77777777" w:rsidR="00CE0D3F" w:rsidRPr="00CE0D3F" w:rsidRDefault="00CE0D3F" w:rsidP="002741B1">
            <w:pPr>
              <w:contextualSpacing/>
              <w:rPr>
                <w:rFonts w:ascii="Times New Roman" w:hAnsi="Times New Roman" w:cs="Times New Roman"/>
                <w:lang w:val="de-DE"/>
              </w:rPr>
            </w:pPr>
            <w:r w:rsidRPr="00CE0D3F">
              <w:rPr>
                <w:rFonts w:ascii="Times New Roman" w:hAnsi="Times New Roman"/>
                <w:lang w:val="de-DE"/>
              </w:rPr>
              <w:t xml:space="preserve">- KE ab 745 EUR und unter 2.500 EUR </w:t>
            </w:r>
          </w:p>
        </w:tc>
        <w:tc>
          <w:tcPr>
            <w:tcW w:w="1984" w:type="dxa"/>
            <w:tcBorders>
              <w:top w:val="nil"/>
              <w:bottom w:val="nil"/>
            </w:tcBorders>
            <w:hideMark/>
          </w:tcPr>
          <w:p w14:paraId="6785A433"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2.000 EUR</w:t>
            </w:r>
          </w:p>
        </w:tc>
      </w:tr>
      <w:tr w:rsidR="00CE0D3F" w:rsidRPr="00CE0D3F" w14:paraId="55D44C61" w14:textId="77777777" w:rsidTr="002C00A7">
        <w:trPr>
          <w:trHeight w:val="379"/>
        </w:trPr>
        <w:tc>
          <w:tcPr>
            <w:tcW w:w="5812" w:type="dxa"/>
            <w:tcBorders>
              <w:top w:val="nil"/>
            </w:tcBorders>
            <w:hideMark/>
          </w:tcPr>
          <w:p w14:paraId="4ABE0C42"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w:t>
            </w:r>
          </w:p>
        </w:tc>
        <w:tc>
          <w:tcPr>
            <w:tcW w:w="2694" w:type="dxa"/>
            <w:tcBorders>
              <w:top w:val="nil"/>
            </w:tcBorders>
            <w:hideMark/>
          </w:tcPr>
          <w:p w14:paraId="77E927F9" w14:textId="77777777" w:rsidR="00CE0D3F" w:rsidRPr="00CE0D3F" w:rsidRDefault="00CE0D3F" w:rsidP="002741B1">
            <w:pPr>
              <w:contextualSpacing/>
              <w:rPr>
                <w:rFonts w:ascii="Times New Roman" w:hAnsi="Times New Roman" w:cs="Times New Roman"/>
                <w:lang w:val="de-DE"/>
              </w:rPr>
            </w:pPr>
            <w:r w:rsidRPr="00CE0D3F">
              <w:rPr>
                <w:rFonts w:ascii="Times New Roman" w:hAnsi="Times New Roman"/>
                <w:lang w:val="de-DE"/>
              </w:rPr>
              <w:t xml:space="preserve">- KE &gt; oder = 2.500 EUR </w:t>
            </w:r>
          </w:p>
        </w:tc>
        <w:tc>
          <w:tcPr>
            <w:tcW w:w="1984" w:type="dxa"/>
            <w:tcBorders>
              <w:top w:val="nil"/>
            </w:tcBorders>
            <w:hideMark/>
          </w:tcPr>
          <w:p w14:paraId="46AF8028"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3.000 EUR</w:t>
            </w:r>
          </w:p>
        </w:tc>
      </w:tr>
      <w:tr w:rsidR="00CE0D3F" w:rsidRPr="00CE0D3F" w14:paraId="21181238" w14:textId="77777777" w:rsidTr="002C00A7">
        <w:tc>
          <w:tcPr>
            <w:tcW w:w="5812" w:type="dxa"/>
            <w:tcBorders>
              <w:top w:val="nil"/>
              <w:bottom w:val="single" w:sz="4" w:space="0" w:color="auto"/>
            </w:tcBorders>
          </w:tcPr>
          <w:p w14:paraId="4C831AE0" w14:textId="77777777" w:rsidR="00CE0D3F" w:rsidRPr="00CE0D3F" w:rsidRDefault="00CE0D3F" w:rsidP="008448F2">
            <w:pPr>
              <w:contextualSpacing/>
              <w:jc w:val="both"/>
              <w:rPr>
                <w:rFonts w:ascii="Times New Roman" w:hAnsi="Times New Roman" w:cs="Times New Roman"/>
                <w:lang w:val="de-DE"/>
              </w:rPr>
            </w:pPr>
          </w:p>
        </w:tc>
        <w:tc>
          <w:tcPr>
            <w:tcW w:w="2694" w:type="dxa"/>
            <w:tcBorders>
              <w:top w:val="nil"/>
              <w:bottom w:val="single" w:sz="4" w:space="0" w:color="auto"/>
            </w:tcBorders>
          </w:tcPr>
          <w:p w14:paraId="5CAAE3F5" w14:textId="77777777" w:rsidR="00CE0D3F" w:rsidRPr="00CE0D3F" w:rsidRDefault="00CE0D3F" w:rsidP="002741B1">
            <w:pPr>
              <w:contextualSpacing/>
              <w:rPr>
                <w:rFonts w:ascii="Times New Roman" w:hAnsi="Times New Roman" w:cs="Times New Roman"/>
                <w:lang w:val="de-DE"/>
              </w:rPr>
            </w:pPr>
          </w:p>
        </w:tc>
        <w:tc>
          <w:tcPr>
            <w:tcW w:w="1984" w:type="dxa"/>
            <w:tcBorders>
              <w:top w:val="nil"/>
              <w:bottom w:val="single" w:sz="4" w:space="0" w:color="auto"/>
            </w:tcBorders>
          </w:tcPr>
          <w:p w14:paraId="22F80D04" w14:textId="77777777" w:rsidR="00CE0D3F" w:rsidRPr="00CE0D3F" w:rsidRDefault="00CE0D3F" w:rsidP="002741B1">
            <w:pPr>
              <w:contextualSpacing/>
              <w:jc w:val="center"/>
              <w:rPr>
                <w:rFonts w:ascii="Times New Roman" w:hAnsi="Times New Roman" w:cs="Times New Roman"/>
                <w:lang w:val="de-DE"/>
              </w:rPr>
            </w:pPr>
          </w:p>
        </w:tc>
      </w:tr>
      <w:tr w:rsidR="00CE0D3F" w:rsidRPr="00CE0D3F" w14:paraId="39A9CA24" w14:textId="77777777" w:rsidTr="00101469">
        <w:trPr>
          <w:trHeight w:val="1843"/>
        </w:trPr>
        <w:tc>
          <w:tcPr>
            <w:tcW w:w="5812" w:type="dxa"/>
            <w:tcBorders>
              <w:bottom w:val="nil"/>
            </w:tcBorders>
            <w:hideMark/>
          </w:tcPr>
          <w:p w14:paraId="45BFC0CF"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xml:space="preserve">D. Verspätete Einreichung oder Nichtabgabe der Erklärung des Erwerbs und/oder der Veräußerung eines dinglichen Rechts an einem im Ausland gelegenen unbeweglichen Gut oder verspätete Einreichung oder Nichtabgabe der Erklärung des Bestehens eines dinglichen Rechts an einem im Ausland gelegenen unbeweglichen Gut am 31. Dezember 2020 (Art. 473 § 2 des Einkommensteuergesetzbuches 1992): </w:t>
            </w:r>
          </w:p>
        </w:tc>
        <w:tc>
          <w:tcPr>
            <w:tcW w:w="2694" w:type="dxa"/>
            <w:tcBorders>
              <w:bottom w:val="nil"/>
            </w:tcBorders>
            <w:hideMark/>
          </w:tcPr>
          <w:p w14:paraId="6854AA80" w14:textId="77777777" w:rsidR="00CE0D3F" w:rsidRPr="00CE0D3F" w:rsidRDefault="00CE0D3F" w:rsidP="002741B1">
            <w:pPr>
              <w:contextualSpacing/>
              <w:rPr>
                <w:rFonts w:ascii="Times New Roman" w:hAnsi="Times New Roman"/>
                <w:lang w:val="de-DE"/>
              </w:rPr>
            </w:pPr>
          </w:p>
          <w:p w14:paraId="131DE085" w14:textId="77777777" w:rsidR="00CE0D3F" w:rsidRPr="00CE0D3F" w:rsidRDefault="00CE0D3F" w:rsidP="002741B1">
            <w:pPr>
              <w:contextualSpacing/>
              <w:rPr>
                <w:rFonts w:ascii="Times New Roman" w:hAnsi="Times New Roman"/>
                <w:lang w:val="de-DE"/>
              </w:rPr>
            </w:pPr>
          </w:p>
          <w:p w14:paraId="7C3B16FE" w14:textId="77777777" w:rsidR="00CE0D3F" w:rsidRPr="00CE0D3F" w:rsidRDefault="00CE0D3F" w:rsidP="002741B1">
            <w:pPr>
              <w:contextualSpacing/>
              <w:rPr>
                <w:rFonts w:ascii="Times New Roman" w:hAnsi="Times New Roman"/>
                <w:lang w:val="de-DE"/>
              </w:rPr>
            </w:pPr>
          </w:p>
          <w:p w14:paraId="01EE15D3" w14:textId="77777777" w:rsidR="00CE0D3F" w:rsidRPr="00CE0D3F" w:rsidRDefault="00CE0D3F" w:rsidP="002741B1">
            <w:pPr>
              <w:contextualSpacing/>
              <w:rPr>
                <w:rFonts w:ascii="Times New Roman" w:hAnsi="Times New Roman"/>
                <w:lang w:val="de-DE"/>
              </w:rPr>
            </w:pPr>
          </w:p>
          <w:p w14:paraId="25C7E365" w14:textId="77777777" w:rsidR="00CE0D3F" w:rsidRPr="00CE0D3F" w:rsidRDefault="00CE0D3F" w:rsidP="002741B1">
            <w:pPr>
              <w:contextualSpacing/>
              <w:rPr>
                <w:rFonts w:ascii="Times New Roman" w:hAnsi="Times New Roman"/>
                <w:lang w:val="de-DE"/>
              </w:rPr>
            </w:pPr>
          </w:p>
          <w:p w14:paraId="006B65D3" w14:textId="77777777" w:rsidR="00CE0D3F" w:rsidRPr="00CE0D3F" w:rsidRDefault="00CE0D3F" w:rsidP="002741B1">
            <w:pPr>
              <w:contextualSpacing/>
              <w:rPr>
                <w:rFonts w:ascii="Times New Roman" w:hAnsi="Times New Roman" w:cs="Times New Roman"/>
                <w:lang w:val="de-DE"/>
              </w:rPr>
            </w:pPr>
            <w:r w:rsidRPr="00CE0D3F">
              <w:rPr>
                <w:rFonts w:ascii="Times New Roman" w:hAnsi="Times New Roman"/>
                <w:lang w:val="de-DE"/>
              </w:rPr>
              <w:t xml:space="preserve">- KE &lt; 745 EUR </w:t>
            </w:r>
          </w:p>
        </w:tc>
        <w:tc>
          <w:tcPr>
            <w:tcW w:w="1984" w:type="dxa"/>
            <w:tcBorders>
              <w:bottom w:val="nil"/>
            </w:tcBorders>
            <w:hideMark/>
          </w:tcPr>
          <w:p w14:paraId="332E08C0" w14:textId="77777777" w:rsidR="00CE0D3F" w:rsidRPr="00CE0D3F" w:rsidRDefault="00CE0D3F" w:rsidP="002741B1">
            <w:pPr>
              <w:contextualSpacing/>
              <w:jc w:val="center"/>
              <w:rPr>
                <w:rFonts w:ascii="Times New Roman" w:hAnsi="Times New Roman"/>
                <w:lang w:val="de-DE"/>
              </w:rPr>
            </w:pPr>
          </w:p>
          <w:p w14:paraId="081270F7" w14:textId="77777777" w:rsidR="00CE0D3F" w:rsidRPr="00CE0D3F" w:rsidRDefault="00CE0D3F" w:rsidP="002741B1">
            <w:pPr>
              <w:contextualSpacing/>
              <w:jc w:val="center"/>
              <w:rPr>
                <w:rFonts w:ascii="Times New Roman" w:hAnsi="Times New Roman"/>
                <w:lang w:val="de-DE"/>
              </w:rPr>
            </w:pPr>
          </w:p>
          <w:p w14:paraId="46847016" w14:textId="77777777" w:rsidR="00CE0D3F" w:rsidRPr="00CE0D3F" w:rsidRDefault="00CE0D3F" w:rsidP="002741B1">
            <w:pPr>
              <w:contextualSpacing/>
              <w:jc w:val="center"/>
              <w:rPr>
                <w:rFonts w:ascii="Times New Roman" w:hAnsi="Times New Roman"/>
                <w:lang w:val="de-DE"/>
              </w:rPr>
            </w:pPr>
          </w:p>
          <w:p w14:paraId="61CCCE99" w14:textId="77777777" w:rsidR="00CE0D3F" w:rsidRPr="00CE0D3F" w:rsidRDefault="00CE0D3F" w:rsidP="002741B1">
            <w:pPr>
              <w:contextualSpacing/>
              <w:jc w:val="center"/>
              <w:rPr>
                <w:rFonts w:ascii="Times New Roman" w:hAnsi="Times New Roman"/>
                <w:lang w:val="de-DE"/>
              </w:rPr>
            </w:pPr>
          </w:p>
          <w:p w14:paraId="091EBA92" w14:textId="77777777" w:rsidR="00CE0D3F" w:rsidRPr="00CE0D3F" w:rsidRDefault="00CE0D3F" w:rsidP="002741B1">
            <w:pPr>
              <w:contextualSpacing/>
              <w:jc w:val="center"/>
              <w:rPr>
                <w:rFonts w:ascii="Times New Roman" w:hAnsi="Times New Roman"/>
                <w:lang w:val="de-DE"/>
              </w:rPr>
            </w:pPr>
          </w:p>
          <w:p w14:paraId="7AE83798"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1.000 EUR</w:t>
            </w:r>
          </w:p>
        </w:tc>
      </w:tr>
      <w:tr w:rsidR="00CE0D3F" w:rsidRPr="00CE0D3F" w14:paraId="55F4C45B" w14:textId="77777777" w:rsidTr="00101469">
        <w:trPr>
          <w:trHeight w:val="624"/>
        </w:trPr>
        <w:tc>
          <w:tcPr>
            <w:tcW w:w="5812" w:type="dxa"/>
            <w:tcBorders>
              <w:top w:val="nil"/>
              <w:bottom w:val="nil"/>
            </w:tcBorders>
            <w:hideMark/>
          </w:tcPr>
          <w:p w14:paraId="41BC8DBC"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w:t>
            </w:r>
          </w:p>
        </w:tc>
        <w:tc>
          <w:tcPr>
            <w:tcW w:w="2694" w:type="dxa"/>
            <w:tcBorders>
              <w:top w:val="nil"/>
              <w:bottom w:val="nil"/>
            </w:tcBorders>
            <w:vAlign w:val="center"/>
            <w:hideMark/>
          </w:tcPr>
          <w:p w14:paraId="79964A26"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xml:space="preserve">- KE ab 745 EUR und unter 2.500 EUR </w:t>
            </w:r>
          </w:p>
        </w:tc>
        <w:tc>
          <w:tcPr>
            <w:tcW w:w="1984" w:type="dxa"/>
            <w:tcBorders>
              <w:top w:val="nil"/>
              <w:bottom w:val="nil"/>
            </w:tcBorders>
            <w:hideMark/>
          </w:tcPr>
          <w:p w14:paraId="15A78061"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2.000 EUR</w:t>
            </w:r>
          </w:p>
        </w:tc>
      </w:tr>
      <w:tr w:rsidR="00CE0D3F" w:rsidRPr="00CE0D3F" w14:paraId="0385D0BE" w14:textId="77777777" w:rsidTr="00101469">
        <w:trPr>
          <w:trHeight w:val="439"/>
        </w:trPr>
        <w:tc>
          <w:tcPr>
            <w:tcW w:w="5812" w:type="dxa"/>
            <w:tcBorders>
              <w:top w:val="nil"/>
            </w:tcBorders>
            <w:hideMark/>
          </w:tcPr>
          <w:p w14:paraId="2A1DBCF6"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w:t>
            </w:r>
          </w:p>
        </w:tc>
        <w:tc>
          <w:tcPr>
            <w:tcW w:w="2694" w:type="dxa"/>
            <w:tcBorders>
              <w:top w:val="nil"/>
            </w:tcBorders>
            <w:vAlign w:val="center"/>
            <w:hideMark/>
          </w:tcPr>
          <w:p w14:paraId="51E70467" w14:textId="77777777" w:rsidR="00CE0D3F" w:rsidRPr="00CE0D3F" w:rsidRDefault="00CE0D3F" w:rsidP="008448F2">
            <w:pPr>
              <w:contextualSpacing/>
              <w:jc w:val="both"/>
              <w:rPr>
                <w:rFonts w:ascii="Times New Roman" w:hAnsi="Times New Roman" w:cs="Times New Roman"/>
                <w:lang w:val="de-DE"/>
              </w:rPr>
            </w:pPr>
            <w:r w:rsidRPr="00CE0D3F">
              <w:rPr>
                <w:rFonts w:ascii="Times New Roman" w:hAnsi="Times New Roman"/>
                <w:lang w:val="de-DE"/>
              </w:rPr>
              <w:t xml:space="preserve">- KE &gt; oder = 2.500 EUR </w:t>
            </w:r>
          </w:p>
        </w:tc>
        <w:tc>
          <w:tcPr>
            <w:tcW w:w="1984" w:type="dxa"/>
            <w:tcBorders>
              <w:top w:val="nil"/>
            </w:tcBorders>
            <w:hideMark/>
          </w:tcPr>
          <w:p w14:paraId="26A0D7DC" w14:textId="77777777" w:rsidR="00CE0D3F" w:rsidRPr="00CE0D3F" w:rsidRDefault="00CE0D3F" w:rsidP="002741B1">
            <w:pPr>
              <w:contextualSpacing/>
              <w:jc w:val="center"/>
              <w:rPr>
                <w:rFonts w:ascii="Times New Roman" w:hAnsi="Times New Roman" w:cs="Times New Roman"/>
                <w:lang w:val="de-DE"/>
              </w:rPr>
            </w:pPr>
            <w:r w:rsidRPr="00CE0D3F">
              <w:rPr>
                <w:rFonts w:ascii="Times New Roman" w:hAnsi="Times New Roman"/>
                <w:lang w:val="de-DE"/>
              </w:rPr>
              <w:t>3.000 EUR</w:t>
            </w:r>
          </w:p>
        </w:tc>
      </w:tr>
    </w:tbl>
    <w:p w14:paraId="3FA5B6E1" w14:textId="77777777" w:rsidR="00CE0D3F" w:rsidRPr="00CE0D3F" w:rsidRDefault="00CE0D3F" w:rsidP="008448F2">
      <w:pPr>
        <w:contextualSpacing/>
        <w:jc w:val="both"/>
        <w:rPr>
          <w:lang w:val="de-DE"/>
        </w:rPr>
      </w:pPr>
    </w:p>
    <w:p w14:paraId="5365B5DF" w14:textId="77777777" w:rsidR="00CE0D3F" w:rsidRPr="00CE0D3F" w:rsidRDefault="00CE0D3F" w:rsidP="008448F2">
      <w:pPr>
        <w:ind w:firstLine="708"/>
        <w:contextualSpacing/>
        <w:jc w:val="both"/>
        <w:rPr>
          <w:lang w:val="de-DE"/>
        </w:rPr>
      </w:pPr>
      <w:r w:rsidRPr="00CE0D3F">
        <w:rPr>
          <w:lang w:val="de-DE"/>
        </w:rPr>
        <w:lastRenderedPageBreak/>
        <w:t>Das Katastereinkommen, das für die Festlegung des Betrags der Geldbuße bei Nichteinhaltung der in Artikel 473 § 1 des Einkommensteuergesetzbuches 1992 vorgesehenen Verpflichtungen berücksichtigt wird, ist dasjenige, das in Anwendung von Artikel 494 desselben Gesetzbuches festgelegt worden ist, das heißt das Katastereinkommen, das auf der Grundlage der neuen Situation, die vom Steuerpflichtigen verspätet erklärt oder von der Verwaltung festgestellt wurde, bewertet oder neu bewertet worden ist.</w:t>
      </w:r>
    </w:p>
    <w:p w14:paraId="7FFF0792" w14:textId="77777777" w:rsidR="00CE0D3F" w:rsidRPr="00CE0D3F" w:rsidRDefault="00CE0D3F" w:rsidP="008448F2">
      <w:pPr>
        <w:contextualSpacing/>
        <w:jc w:val="both"/>
        <w:rPr>
          <w:lang w:val="de-DE"/>
        </w:rPr>
      </w:pPr>
    </w:p>
    <w:p w14:paraId="75D26AE4" w14:textId="67001779" w:rsidR="00CE0D3F" w:rsidRPr="00CE0D3F" w:rsidRDefault="00CE0D3F" w:rsidP="008448F2">
      <w:pPr>
        <w:contextualSpacing/>
        <w:jc w:val="both"/>
        <w:rPr>
          <w:lang w:val="de-DE"/>
        </w:rPr>
      </w:pPr>
      <w:r w:rsidRPr="00CE0D3F">
        <w:rPr>
          <w:lang w:val="de-DE"/>
        </w:rPr>
        <w:tab/>
        <w:t>Bei verspäteter Einreichung oder Nichtabgabe einer Erklärung werden Geldbußen pro betroffene Katasterparzelle angewandt.</w:t>
      </w:r>
      <w:r w:rsidR="007351AE">
        <w:rPr>
          <w:lang w:val="de-DE"/>
        </w:rPr>
        <w:t>"</w:t>
      </w:r>
    </w:p>
    <w:p w14:paraId="245B9A9A" w14:textId="77777777" w:rsidR="00CE0D3F" w:rsidRPr="00CE0D3F" w:rsidRDefault="00CE0D3F" w:rsidP="008448F2">
      <w:pPr>
        <w:contextualSpacing/>
        <w:jc w:val="both"/>
        <w:rPr>
          <w:lang w:val="de-DE"/>
        </w:rPr>
      </w:pPr>
    </w:p>
    <w:p w14:paraId="6946BD77" w14:textId="77777777" w:rsidR="00CE0D3F" w:rsidRPr="00CE0D3F" w:rsidRDefault="00CE0D3F" w:rsidP="008448F2">
      <w:pPr>
        <w:contextualSpacing/>
        <w:jc w:val="both"/>
        <w:rPr>
          <w:lang w:val="de-DE"/>
        </w:rPr>
      </w:pPr>
    </w:p>
    <w:p w14:paraId="59DF6EEC" w14:textId="77777777" w:rsidR="00CE0D3F" w:rsidRPr="00CE0D3F" w:rsidRDefault="00CE0D3F" w:rsidP="008448F2">
      <w:pPr>
        <w:ind w:firstLine="708"/>
        <w:contextualSpacing/>
        <w:jc w:val="both"/>
        <w:rPr>
          <w:lang w:val="de-DE"/>
        </w:rPr>
      </w:pPr>
      <w:r w:rsidRPr="00CE0D3F">
        <w:rPr>
          <w:b/>
          <w:bCs/>
          <w:lang w:val="de-DE"/>
        </w:rPr>
        <w:t>Art. 2 -</w:t>
      </w:r>
      <w:r w:rsidRPr="00CE0D3F">
        <w:rPr>
          <w:lang w:val="de-DE"/>
        </w:rPr>
        <w:t xml:space="preserve"> Der für Finanzen zuständige Minister ist mit der Ausführung des vorliegenden Erlasses beauftragt. </w:t>
      </w:r>
    </w:p>
    <w:p w14:paraId="6BAF34C4" w14:textId="77777777" w:rsidR="00CE0D3F" w:rsidRPr="00CE0D3F" w:rsidRDefault="00CE0D3F" w:rsidP="008448F2">
      <w:pPr>
        <w:contextualSpacing/>
        <w:jc w:val="both"/>
        <w:rPr>
          <w:lang w:val="de-DE"/>
        </w:rPr>
      </w:pPr>
    </w:p>
    <w:p w14:paraId="3B8825A9" w14:textId="77777777" w:rsidR="00CE0D3F" w:rsidRPr="00CE0D3F" w:rsidRDefault="00CE0D3F" w:rsidP="008448F2">
      <w:pPr>
        <w:contextualSpacing/>
        <w:jc w:val="both"/>
        <w:rPr>
          <w:lang w:val="de-DE"/>
        </w:rPr>
      </w:pPr>
    </w:p>
    <w:p w14:paraId="711991F1" w14:textId="77777777" w:rsidR="00CE0D3F" w:rsidRPr="00CE0D3F" w:rsidRDefault="00CE0D3F" w:rsidP="008448F2">
      <w:pPr>
        <w:ind w:firstLine="708"/>
        <w:contextualSpacing/>
        <w:jc w:val="both"/>
        <w:rPr>
          <w:lang w:val="de-DE"/>
        </w:rPr>
      </w:pPr>
      <w:r w:rsidRPr="00CE0D3F">
        <w:rPr>
          <w:lang w:val="de-DE"/>
        </w:rPr>
        <w:t>Gegeben zu Brüssel, den 20. September 2023</w:t>
      </w:r>
    </w:p>
    <w:p w14:paraId="7D00CAAD" w14:textId="77777777" w:rsidR="00CE0D3F" w:rsidRPr="00CE0D3F" w:rsidRDefault="00CE0D3F" w:rsidP="008448F2">
      <w:pPr>
        <w:contextualSpacing/>
        <w:jc w:val="both"/>
        <w:rPr>
          <w:lang w:val="de-DE"/>
        </w:rPr>
      </w:pPr>
    </w:p>
    <w:p w14:paraId="226C4011" w14:textId="77777777" w:rsidR="00CE0D3F" w:rsidRPr="00CE0D3F" w:rsidRDefault="00CE0D3F" w:rsidP="008448F2">
      <w:pPr>
        <w:contextualSpacing/>
        <w:jc w:val="center"/>
        <w:rPr>
          <w:lang w:val="de-DE"/>
        </w:rPr>
      </w:pPr>
    </w:p>
    <w:p w14:paraId="2DE29156" w14:textId="77777777" w:rsidR="00CE0D3F" w:rsidRPr="00CE0D3F" w:rsidRDefault="00CE0D3F" w:rsidP="008448F2">
      <w:pPr>
        <w:contextualSpacing/>
        <w:jc w:val="center"/>
        <w:rPr>
          <w:lang w:val="de-DE"/>
        </w:rPr>
      </w:pPr>
      <w:r w:rsidRPr="00CE0D3F">
        <w:rPr>
          <w:lang w:val="de-DE"/>
        </w:rPr>
        <w:t>PHILIPPE</w:t>
      </w:r>
    </w:p>
    <w:p w14:paraId="67EE5CD1" w14:textId="77777777" w:rsidR="00CE0D3F" w:rsidRPr="00CE0D3F" w:rsidRDefault="00CE0D3F" w:rsidP="008448F2">
      <w:pPr>
        <w:contextualSpacing/>
        <w:jc w:val="center"/>
        <w:rPr>
          <w:lang w:val="de-DE"/>
        </w:rPr>
      </w:pPr>
    </w:p>
    <w:p w14:paraId="3E6BB031" w14:textId="77777777" w:rsidR="00CE0D3F" w:rsidRPr="00CE0D3F" w:rsidRDefault="00CE0D3F" w:rsidP="008448F2">
      <w:pPr>
        <w:contextualSpacing/>
        <w:jc w:val="center"/>
        <w:rPr>
          <w:lang w:val="de-DE"/>
        </w:rPr>
      </w:pPr>
      <w:r w:rsidRPr="00CE0D3F">
        <w:rPr>
          <w:lang w:val="de-DE"/>
        </w:rPr>
        <w:t>Von Königs wegen:</w:t>
      </w:r>
    </w:p>
    <w:p w14:paraId="445321B7" w14:textId="77777777" w:rsidR="00CE0D3F" w:rsidRPr="00CE0D3F" w:rsidRDefault="00CE0D3F" w:rsidP="008448F2">
      <w:pPr>
        <w:contextualSpacing/>
        <w:jc w:val="center"/>
        <w:rPr>
          <w:lang w:val="de-DE"/>
        </w:rPr>
      </w:pPr>
    </w:p>
    <w:p w14:paraId="4441421F" w14:textId="77777777" w:rsidR="00CE0D3F" w:rsidRPr="00CE0D3F" w:rsidRDefault="00CE0D3F" w:rsidP="008448F2">
      <w:pPr>
        <w:contextualSpacing/>
        <w:jc w:val="center"/>
        <w:rPr>
          <w:lang w:val="de-DE"/>
        </w:rPr>
      </w:pPr>
      <w:r w:rsidRPr="00CE0D3F">
        <w:rPr>
          <w:lang w:val="de-DE"/>
        </w:rPr>
        <w:t>Der Minister der Finanzen</w:t>
      </w:r>
    </w:p>
    <w:p w14:paraId="16927488" w14:textId="77777777" w:rsidR="00CE0D3F" w:rsidRPr="00CE0D3F" w:rsidRDefault="00CE0D3F" w:rsidP="008448F2">
      <w:pPr>
        <w:contextualSpacing/>
        <w:jc w:val="center"/>
        <w:rPr>
          <w:lang w:val="de-DE"/>
        </w:rPr>
      </w:pPr>
      <w:r w:rsidRPr="00CE0D3F">
        <w:rPr>
          <w:lang w:val="de-DE"/>
        </w:rPr>
        <w:t>V. VAN PETEGHEM</w:t>
      </w:r>
    </w:p>
    <w:p w14:paraId="5304F53A" w14:textId="77777777" w:rsidR="00233F36" w:rsidRPr="00CE0D3F" w:rsidRDefault="00233F36" w:rsidP="00E1687C">
      <w:pPr>
        <w:jc w:val="both"/>
        <w:rPr>
          <w:lang w:val="de-DE"/>
        </w:rPr>
      </w:pPr>
    </w:p>
    <w:sectPr w:rsidR="00233F36" w:rsidRPr="00CE0D3F" w:rsidSect="00CE0D3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9105762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01469"/>
    <w:rsid w:val="00127CA8"/>
    <w:rsid w:val="001D5744"/>
    <w:rsid w:val="00217221"/>
    <w:rsid w:val="00233F36"/>
    <w:rsid w:val="00266D2A"/>
    <w:rsid w:val="002A1F4E"/>
    <w:rsid w:val="003024C1"/>
    <w:rsid w:val="00330774"/>
    <w:rsid w:val="003725C6"/>
    <w:rsid w:val="00385261"/>
    <w:rsid w:val="004F0197"/>
    <w:rsid w:val="0051470C"/>
    <w:rsid w:val="005D55BA"/>
    <w:rsid w:val="005F0EF6"/>
    <w:rsid w:val="006F4381"/>
    <w:rsid w:val="007351AE"/>
    <w:rsid w:val="00786C4F"/>
    <w:rsid w:val="007A515C"/>
    <w:rsid w:val="007C7ACD"/>
    <w:rsid w:val="007D5F55"/>
    <w:rsid w:val="00800E1A"/>
    <w:rsid w:val="008C2124"/>
    <w:rsid w:val="00AA413E"/>
    <w:rsid w:val="00AB18C3"/>
    <w:rsid w:val="00B27BE9"/>
    <w:rsid w:val="00B56114"/>
    <w:rsid w:val="00C43D43"/>
    <w:rsid w:val="00C80000"/>
    <w:rsid w:val="00CA081B"/>
    <w:rsid w:val="00CE0D3F"/>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D87C1"/>
  <w15:docId w15:val="{32A85597-BA99-4B29-805A-2005650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3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CE0D3F"/>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1072</Words>
  <Characters>5896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2025-04-11T07:05:00Z</dcterms:created>
  <dcterms:modified xsi:type="dcterms:W3CDTF">2025-04-11T07:28:00Z</dcterms:modified>
</cp:coreProperties>
</file>