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A98C" w14:textId="3D50165A" w:rsidR="00AA0401" w:rsidRPr="0062020F" w:rsidRDefault="0062020F" w:rsidP="0062020F">
      <w:pPr>
        <w:jc w:val="both"/>
        <w:rPr>
          <w:b/>
          <w:lang w:val="de-DE"/>
        </w:rPr>
      </w:pPr>
      <w:r w:rsidRPr="0062020F">
        <w:rPr>
          <w:b/>
          <w:bCs/>
          <w:lang w:val="de-DE"/>
        </w:rPr>
        <w:t>31. JULI 2023 -</w:t>
      </w:r>
      <w:r w:rsidRPr="0062020F">
        <w:rPr>
          <w:b/>
          <w:lang w:val="de-DE"/>
        </w:rPr>
        <w:t xml:space="preserve"> Gesetz zur Festlegung von Produktnormen für die Einbindung von Energie aus erneuerbaren Quellen in fossile Kraftstoffe, die für den Verkehrssektor bestimmt sind, zur Abänderung des Gesetzes vom 29. April 1999 über die Organisation des Elektrizitätsmarktes und zur Abänderung des Gesetzes vom 12. April 1965 über den Transport gasförmiger und anderer Produkte durch Leitungen (Artikel 14, 15 und 19 bis 21)</w:t>
      </w:r>
    </w:p>
    <w:p w14:paraId="6252FCE9" w14:textId="77777777" w:rsidR="0062020F" w:rsidRPr="0062020F" w:rsidRDefault="0062020F" w:rsidP="0062020F">
      <w:pPr>
        <w:jc w:val="both"/>
        <w:rPr>
          <w:lang w:val="de-DE"/>
        </w:rPr>
      </w:pPr>
    </w:p>
    <w:p w14:paraId="426F2518" w14:textId="77777777" w:rsidR="00AA0401" w:rsidRPr="0062020F" w:rsidRDefault="00AA0401" w:rsidP="00A94F33">
      <w:pPr>
        <w:jc w:val="both"/>
        <w:rPr>
          <w:lang w:val="de-DE"/>
        </w:rPr>
      </w:pPr>
    </w:p>
    <w:p w14:paraId="3CEEDD44" w14:textId="63D90D56" w:rsidR="00AA0401" w:rsidRPr="0062020F" w:rsidRDefault="00AA0401" w:rsidP="00682997">
      <w:pPr>
        <w:jc w:val="center"/>
        <w:rPr>
          <w:i/>
          <w:lang w:val="de-DE"/>
        </w:rPr>
      </w:pPr>
      <w:r w:rsidRPr="0062020F">
        <w:rPr>
          <w:lang w:val="de-DE"/>
        </w:rPr>
        <w:t>(</w:t>
      </w:r>
      <w:r w:rsidRPr="0062020F">
        <w:rPr>
          <w:i/>
          <w:lang w:val="de-DE"/>
        </w:rPr>
        <w:t xml:space="preserve">Belgisches Staatsblatt </w:t>
      </w:r>
      <w:r w:rsidRPr="0062020F">
        <w:rPr>
          <w:lang w:val="de-DE"/>
        </w:rPr>
        <w:t xml:space="preserve">vom </w:t>
      </w:r>
      <w:r w:rsidR="0062020F" w:rsidRPr="0062020F">
        <w:rPr>
          <w:lang w:val="de-DE"/>
        </w:rPr>
        <w:t>26. Januar 2026</w:t>
      </w:r>
      <w:r w:rsidRPr="0062020F">
        <w:rPr>
          <w:lang w:val="de-DE"/>
        </w:rPr>
        <w:t>)</w:t>
      </w:r>
    </w:p>
    <w:p w14:paraId="7183F472" w14:textId="77777777" w:rsidR="00AA0401" w:rsidRPr="0062020F" w:rsidRDefault="00AA0401" w:rsidP="00A94F33">
      <w:pPr>
        <w:jc w:val="both"/>
        <w:rPr>
          <w:lang w:val="de-DE"/>
        </w:rPr>
      </w:pPr>
    </w:p>
    <w:p w14:paraId="6E45B03F" w14:textId="77777777" w:rsidR="00AA0401" w:rsidRPr="0062020F" w:rsidRDefault="00AA0401" w:rsidP="00A94F33">
      <w:pPr>
        <w:jc w:val="both"/>
        <w:rPr>
          <w:lang w:val="de-DE"/>
        </w:rPr>
      </w:pPr>
    </w:p>
    <w:p w14:paraId="02876464" w14:textId="77777777" w:rsidR="00B2139D" w:rsidRPr="0062020F" w:rsidRDefault="00B2139D" w:rsidP="00B2139D">
      <w:pPr>
        <w:jc w:val="both"/>
        <w:rPr>
          <w:lang w:val="de-DE"/>
        </w:rPr>
      </w:pPr>
      <w:r w:rsidRPr="0062020F">
        <w:rPr>
          <w:lang w:val="de-DE"/>
        </w:rPr>
        <w:t>Diese deutsche Übersetzung ist von der Zentralen Dienststelle für Deutsche Übersetzungen in Malmedy erstellt worden.</w:t>
      </w:r>
    </w:p>
    <w:p w14:paraId="1F22FB6A" w14:textId="77777777" w:rsidR="00AA0401" w:rsidRPr="0062020F" w:rsidRDefault="00AA0401" w:rsidP="00A94F33">
      <w:pPr>
        <w:jc w:val="both"/>
        <w:rPr>
          <w:lang w:val="de-DE"/>
        </w:rPr>
      </w:pPr>
    </w:p>
    <w:p w14:paraId="1C13D5FF" w14:textId="77777777" w:rsidR="00AA0401" w:rsidRPr="0062020F" w:rsidRDefault="00AA0401" w:rsidP="00A94F33">
      <w:pPr>
        <w:jc w:val="both"/>
        <w:rPr>
          <w:lang w:val="de-DE"/>
        </w:rPr>
        <w:sectPr w:rsidR="00AA0401" w:rsidRPr="0062020F" w:rsidSect="002855B4">
          <w:pgSz w:w="11906" w:h="16838" w:code="9"/>
          <w:pgMar w:top="1418" w:right="1418" w:bottom="1418" w:left="1418" w:header="709" w:footer="709" w:gutter="0"/>
          <w:cols w:space="708"/>
          <w:vAlign w:val="center"/>
          <w:docGrid w:linePitch="360"/>
        </w:sectPr>
      </w:pPr>
    </w:p>
    <w:p w14:paraId="28820511" w14:textId="77777777" w:rsidR="0062020F" w:rsidRPr="0062020F" w:rsidRDefault="0062020F" w:rsidP="008037A3">
      <w:pPr>
        <w:jc w:val="center"/>
        <w:rPr>
          <w:b/>
          <w:bCs/>
          <w:lang w:val="de-DE"/>
        </w:rPr>
      </w:pPr>
      <w:r w:rsidRPr="0062020F">
        <w:rPr>
          <w:b/>
          <w:lang w:val="de-DE"/>
        </w:rPr>
        <w:lastRenderedPageBreak/>
        <w:t>FÖDERALER ÖFFENTLICHER DIENST WIRTSCHAFT, KMB, MITTELSTAND UND ENERGIE</w:t>
      </w:r>
    </w:p>
    <w:p w14:paraId="1F092EC6" w14:textId="77777777" w:rsidR="0062020F" w:rsidRPr="0062020F" w:rsidRDefault="0062020F" w:rsidP="00231590">
      <w:pPr>
        <w:jc w:val="both"/>
        <w:rPr>
          <w:lang w:val="de-DE"/>
        </w:rPr>
      </w:pPr>
    </w:p>
    <w:p w14:paraId="3E54345A" w14:textId="77777777" w:rsidR="0062020F" w:rsidRPr="0062020F" w:rsidRDefault="0062020F" w:rsidP="00231590">
      <w:pPr>
        <w:jc w:val="both"/>
        <w:rPr>
          <w:lang w:val="de-DE"/>
        </w:rPr>
      </w:pPr>
    </w:p>
    <w:p w14:paraId="3F69330B" w14:textId="77777777" w:rsidR="0062020F" w:rsidRPr="0062020F" w:rsidRDefault="0062020F" w:rsidP="00231590">
      <w:pPr>
        <w:jc w:val="both"/>
        <w:rPr>
          <w:b/>
          <w:bCs/>
          <w:lang w:val="de-DE"/>
        </w:rPr>
      </w:pPr>
      <w:r w:rsidRPr="0062020F">
        <w:rPr>
          <w:b/>
          <w:bCs/>
          <w:lang w:val="de-DE"/>
        </w:rPr>
        <w:t>31. JULI 2023 -</w:t>
      </w:r>
      <w:r w:rsidRPr="0062020F">
        <w:rPr>
          <w:b/>
          <w:lang w:val="de-DE"/>
        </w:rPr>
        <w:t xml:space="preserve"> Gesetz zur Festlegung von Produktnormen für die Einbindung von Energie aus erneuerbaren Quellen in fossile Kraftstoffe, die für den Verkehrssektor bestimmt sind, zur Abänderung des Gesetzes vom 29. April 1999 über die Organisation des Elektrizitätsmarktes und zur Abänderung des Gesetzes vom 12. April 1965 über den Transport gasförmiger und anderer Produkte durch Leitungen</w:t>
      </w:r>
    </w:p>
    <w:p w14:paraId="41D7F860" w14:textId="77777777" w:rsidR="0062020F" w:rsidRPr="0062020F" w:rsidRDefault="0062020F" w:rsidP="00231590">
      <w:pPr>
        <w:jc w:val="both"/>
        <w:rPr>
          <w:lang w:val="de-DE"/>
        </w:rPr>
      </w:pPr>
    </w:p>
    <w:p w14:paraId="15604A60" w14:textId="77777777" w:rsidR="0062020F" w:rsidRPr="0062020F" w:rsidRDefault="0062020F" w:rsidP="00231590">
      <w:pPr>
        <w:jc w:val="both"/>
        <w:rPr>
          <w:lang w:val="de-DE"/>
        </w:rPr>
      </w:pPr>
    </w:p>
    <w:p w14:paraId="2A121400" w14:textId="77777777" w:rsidR="0062020F" w:rsidRPr="0062020F" w:rsidRDefault="0062020F" w:rsidP="008037A3">
      <w:pPr>
        <w:ind w:left="1416" w:firstLine="708"/>
        <w:jc w:val="both"/>
        <w:rPr>
          <w:lang w:val="de-DE"/>
        </w:rPr>
      </w:pPr>
      <w:r w:rsidRPr="0062020F">
        <w:rPr>
          <w:lang w:val="de-DE"/>
        </w:rPr>
        <w:t>PHILIPPE, König der Belgier</w:t>
      </w:r>
    </w:p>
    <w:p w14:paraId="129616A6" w14:textId="77777777" w:rsidR="0062020F" w:rsidRPr="0062020F" w:rsidRDefault="0062020F" w:rsidP="00231590">
      <w:pPr>
        <w:jc w:val="both"/>
        <w:rPr>
          <w:lang w:val="de-DE"/>
        </w:rPr>
      </w:pPr>
    </w:p>
    <w:p w14:paraId="22EF9F32" w14:textId="77777777" w:rsidR="0062020F" w:rsidRPr="0062020F" w:rsidRDefault="0062020F" w:rsidP="008037A3">
      <w:pPr>
        <w:ind w:left="708" w:firstLine="708"/>
        <w:jc w:val="both"/>
        <w:rPr>
          <w:lang w:val="de-DE"/>
        </w:rPr>
      </w:pPr>
      <w:r w:rsidRPr="0062020F">
        <w:rPr>
          <w:lang w:val="de-DE"/>
        </w:rPr>
        <w:t>Allen Gegenwärtigen und Zukünftigen, Unser Gruß!</w:t>
      </w:r>
    </w:p>
    <w:p w14:paraId="5DBB002D" w14:textId="77777777" w:rsidR="0062020F" w:rsidRPr="0062020F" w:rsidRDefault="0062020F" w:rsidP="00231590">
      <w:pPr>
        <w:jc w:val="both"/>
        <w:rPr>
          <w:lang w:val="de-DE"/>
        </w:rPr>
      </w:pPr>
    </w:p>
    <w:p w14:paraId="6A02B555" w14:textId="77777777" w:rsidR="0062020F" w:rsidRPr="0062020F" w:rsidRDefault="0062020F" w:rsidP="00231590">
      <w:pPr>
        <w:jc w:val="both"/>
        <w:rPr>
          <w:lang w:val="de-DE"/>
        </w:rPr>
      </w:pPr>
    </w:p>
    <w:p w14:paraId="04F368CE" w14:textId="77777777" w:rsidR="0062020F" w:rsidRPr="0062020F" w:rsidRDefault="0062020F" w:rsidP="008037A3">
      <w:pPr>
        <w:ind w:firstLine="708"/>
        <w:jc w:val="both"/>
        <w:rPr>
          <w:lang w:val="de-DE"/>
        </w:rPr>
      </w:pPr>
      <w:r w:rsidRPr="0062020F">
        <w:rPr>
          <w:lang w:val="de-DE"/>
        </w:rPr>
        <w:t>Die Abgeordnetenkammer hat das Folgende angenommen und Wir sanktionieren es:</w:t>
      </w:r>
    </w:p>
    <w:p w14:paraId="09086208" w14:textId="77777777" w:rsidR="0062020F" w:rsidRPr="0062020F" w:rsidRDefault="0062020F" w:rsidP="00231590">
      <w:pPr>
        <w:jc w:val="both"/>
        <w:rPr>
          <w:lang w:val="de-DE"/>
        </w:rPr>
      </w:pPr>
    </w:p>
    <w:p w14:paraId="21A5936A" w14:textId="77777777" w:rsidR="0062020F" w:rsidRPr="0062020F" w:rsidRDefault="0062020F" w:rsidP="00231590">
      <w:pPr>
        <w:jc w:val="both"/>
        <w:rPr>
          <w:lang w:val="de-DE"/>
        </w:rPr>
      </w:pPr>
    </w:p>
    <w:p w14:paraId="6815206C" w14:textId="77777777" w:rsidR="0062020F" w:rsidRPr="0062020F" w:rsidRDefault="0062020F" w:rsidP="00E024EE">
      <w:pPr>
        <w:jc w:val="center"/>
        <w:rPr>
          <w:lang w:val="de-DE"/>
        </w:rPr>
      </w:pPr>
      <w:r w:rsidRPr="0062020F">
        <w:rPr>
          <w:lang w:val="de-DE"/>
        </w:rPr>
        <w:t>(...)</w:t>
      </w:r>
    </w:p>
    <w:p w14:paraId="0D89C40D" w14:textId="77777777" w:rsidR="0062020F" w:rsidRPr="0062020F" w:rsidRDefault="0062020F" w:rsidP="00231590">
      <w:pPr>
        <w:jc w:val="both"/>
        <w:rPr>
          <w:lang w:val="de-DE"/>
        </w:rPr>
      </w:pPr>
    </w:p>
    <w:p w14:paraId="7932E104" w14:textId="77777777" w:rsidR="0062020F" w:rsidRPr="0062020F" w:rsidRDefault="0062020F" w:rsidP="00231590">
      <w:pPr>
        <w:jc w:val="both"/>
        <w:rPr>
          <w:lang w:val="de-DE"/>
        </w:rPr>
      </w:pPr>
    </w:p>
    <w:p w14:paraId="2FEF3C6F" w14:textId="77777777" w:rsidR="0062020F" w:rsidRPr="0062020F" w:rsidRDefault="0062020F" w:rsidP="008037A3">
      <w:pPr>
        <w:jc w:val="center"/>
        <w:rPr>
          <w:lang w:val="de-DE"/>
        </w:rPr>
      </w:pPr>
      <w:r w:rsidRPr="0062020F">
        <w:rPr>
          <w:lang w:val="de-DE"/>
        </w:rPr>
        <w:t xml:space="preserve">KAPITEL 12 - </w:t>
      </w:r>
      <w:r w:rsidRPr="0062020F">
        <w:rPr>
          <w:i/>
          <w:lang w:val="de-DE"/>
        </w:rPr>
        <w:t>Abänderungen des Gesetzes vom 29. April 1999 über die Organisation des Elektrizitätsmarktes</w:t>
      </w:r>
    </w:p>
    <w:p w14:paraId="07EE2A0C" w14:textId="77777777" w:rsidR="0062020F" w:rsidRPr="0062020F" w:rsidRDefault="0062020F" w:rsidP="00231590">
      <w:pPr>
        <w:jc w:val="both"/>
        <w:rPr>
          <w:lang w:val="de-DE"/>
        </w:rPr>
      </w:pPr>
    </w:p>
    <w:p w14:paraId="56CFB8EB" w14:textId="77777777" w:rsidR="0062020F" w:rsidRPr="0062020F" w:rsidRDefault="0062020F" w:rsidP="00231590">
      <w:pPr>
        <w:jc w:val="both"/>
        <w:rPr>
          <w:lang w:val="de-DE"/>
        </w:rPr>
      </w:pPr>
    </w:p>
    <w:p w14:paraId="79F5EFCD" w14:textId="77777777" w:rsidR="0062020F" w:rsidRPr="0062020F" w:rsidRDefault="0062020F" w:rsidP="00E024EE">
      <w:pPr>
        <w:ind w:firstLine="708"/>
        <w:jc w:val="both"/>
        <w:rPr>
          <w:lang w:val="de-DE"/>
        </w:rPr>
      </w:pPr>
      <w:r w:rsidRPr="0062020F">
        <w:rPr>
          <w:b/>
          <w:bCs/>
          <w:lang w:val="de-DE"/>
        </w:rPr>
        <w:t>Art. 14 </w:t>
      </w:r>
      <w:r w:rsidRPr="0062020F">
        <w:rPr>
          <w:b/>
          <w:lang w:val="de-DE"/>
        </w:rPr>
        <w:t>-</w:t>
      </w:r>
      <w:r w:rsidRPr="0062020F">
        <w:rPr>
          <w:lang w:val="de-DE"/>
        </w:rPr>
        <w:t xml:space="preserve"> In Artikel 7 des Gesetzes vom 29. April 1999 über die Organisation des Elektrizitätsmarktes, zuletzt abgeändert durch das Programmgesetz vom 27. Dezember 2021, wird § 1</w:t>
      </w:r>
      <w:r w:rsidRPr="0062020F">
        <w:rPr>
          <w:i/>
          <w:iCs/>
          <w:lang w:val="de-DE"/>
        </w:rPr>
        <w:t>bis</w:t>
      </w:r>
      <w:r w:rsidRPr="0062020F">
        <w:rPr>
          <w:lang w:val="de-DE"/>
        </w:rPr>
        <w:t xml:space="preserve"> wie folgt ersetzt:</w:t>
      </w:r>
    </w:p>
    <w:p w14:paraId="6AFD82E8" w14:textId="77777777" w:rsidR="0062020F" w:rsidRPr="0062020F" w:rsidRDefault="0062020F" w:rsidP="00231590">
      <w:pPr>
        <w:jc w:val="both"/>
        <w:rPr>
          <w:lang w:val="de-DE"/>
        </w:rPr>
      </w:pPr>
    </w:p>
    <w:p w14:paraId="1A93ECCE" w14:textId="77777777" w:rsidR="0062020F" w:rsidRPr="0062020F" w:rsidRDefault="0062020F" w:rsidP="00E024EE">
      <w:pPr>
        <w:ind w:firstLine="708"/>
        <w:jc w:val="both"/>
        <w:rPr>
          <w:lang w:val="de-DE"/>
        </w:rPr>
      </w:pPr>
      <w:r w:rsidRPr="0062020F">
        <w:rPr>
          <w:lang w:val="de-DE"/>
        </w:rPr>
        <w:t>"§ 1</w:t>
      </w:r>
      <w:r w:rsidRPr="0062020F">
        <w:rPr>
          <w:i/>
          <w:lang w:val="de-DE"/>
        </w:rPr>
        <w:t>bis</w:t>
      </w:r>
      <w:r w:rsidRPr="0062020F">
        <w:rPr>
          <w:lang w:val="de-DE"/>
        </w:rPr>
        <w:t> - Die Kommission bewertet mindestens alle fünf Jahre die Wirksamkeit der in § 1 erwähnten Förderregelung für Elektrizität aus erneuerbaren Quellen und deren wichtigste Verteilungseffekte in Bezug auf unterschiedliche Verbrauchergruppen und auf Investitionen. Dabei geht sie auch auf die Auswirkungen möglicher Änderungen der Förderregelungen ein.</w:t>
      </w:r>
    </w:p>
    <w:p w14:paraId="37F04B51" w14:textId="77777777" w:rsidR="0062020F" w:rsidRPr="0062020F" w:rsidRDefault="0062020F" w:rsidP="00231590">
      <w:pPr>
        <w:jc w:val="both"/>
        <w:rPr>
          <w:lang w:val="de-DE"/>
        </w:rPr>
      </w:pPr>
    </w:p>
    <w:p w14:paraId="188629E9" w14:textId="77777777" w:rsidR="0062020F" w:rsidRPr="0062020F" w:rsidRDefault="0062020F" w:rsidP="00E024EE">
      <w:pPr>
        <w:ind w:firstLine="708"/>
        <w:jc w:val="both"/>
        <w:rPr>
          <w:lang w:val="de-DE"/>
        </w:rPr>
      </w:pPr>
      <w:r w:rsidRPr="0062020F">
        <w:rPr>
          <w:lang w:val="de-DE"/>
        </w:rPr>
        <w:t>Dieser Bericht wird dem Minister übermittelt und auf der Website der Kommission veröffentlicht.</w:t>
      </w:r>
    </w:p>
    <w:p w14:paraId="6E028E0F" w14:textId="77777777" w:rsidR="0062020F" w:rsidRPr="0062020F" w:rsidRDefault="0062020F" w:rsidP="00231590">
      <w:pPr>
        <w:jc w:val="both"/>
        <w:rPr>
          <w:lang w:val="de-DE"/>
        </w:rPr>
      </w:pPr>
    </w:p>
    <w:p w14:paraId="7310BB0D" w14:textId="77777777" w:rsidR="0062020F" w:rsidRPr="0062020F" w:rsidRDefault="0062020F" w:rsidP="00E024EE">
      <w:pPr>
        <w:ind w:firstLine="708"/>
        <w:jc w:val="both"/>
        <w:rPr>
          <w:lang w:val="de-DE"/>
        </w:rPr>
      </w:pPr>
      <w:r w:rsidRPr="0062020F">
        <w:rPr>
          <w:lang w:val="de-DE"/>
        </w:rPr>
        <w:t>Gegebenenfalls kann die Kommission eine Stellungnahme abgeben zur Zweckmäßigkeit, den in § 1 erwähnten und im Ministerrat beratenen Königlichen Erlass in Bezug auf die Höhe des darin festgelegten Mindestpreises abzuändern. Die Höhe der Förderung und die damit verknüpften Bedingungen können nur nach objektiven Kriterien angepasst werden, sofern die betreffenden Kriterien in der Förderregelung von Anbeginn festgelegt waren und nicht in einer Weise überarbeitet werden, die sich negativ auf die daraus erwachsenden Rechte auswirkt und die Rentabilität von Projekten, denen bereits Förderung zugutekommt, infrage stellt.</w:t>
      </w:r>
    </w:p>
    <w:p w14:paraId="63E4C740" w14:textId="77777777" w:rsidR="0062020F" w:rsidRPr="0062020F" w:rsidRDefault="0062020F" w:rsidP="00231590">
      <w:pPr>
        <w:jc w:val="both"/>
        <w:rPr>
          <w:lang w:val="de-DE"/>
        </w:rPr>
      </w:pPr>
    </w:p>
    <w:p w14:paraId="5ABCC0E2" w14:textId="77777777" w:rsidR="0062020F" w:rsidRPr="0062020F" w:rsidRDefault="0062020F" w:rsidP="00E024EE">
      <w:pPr>
        <w:ind w:firstLine="708"/>
        <w:jc w:val="both"/>
        <w:rPr>
          <w:lang w:val="de-DE"/>
        </w:rPr>
      </w:pPr>
      <w:r w:rsidRPr="0062020F">
        <w:rPr>
          <w:lang w:val="de-DE"/>
        </w:rPr>
        <w:t xml:space="preserve">Die Kommission veröffentlicht als Referenzdokument einen mindestens auf die nächsten fünf oder - im Falle von Haushaltsplanungszwängen - drei Jahre ausgelegten langfristigen Zeitplan mit der voraussichtlichen Zuteilung von Fördermitteln, der, soweit </w:t>
      </w:r>
      <w:r w:rsidRPr="0062020F">
        <w:rPr>
          <w:lang w:val="de-DE"/>
        </w:rPr>
        <w:lastRenderedPageBreak/>
        <w:t>angebracht, auch Richtwerte zu den Fristen und Angaben zur Häufigkeit von Ausschreibungsverfahren, zur voraussichtlichen Kapazität und zum voraussichtlichen Budget beziehungsweise zum Höchstbetrag der voraussichtlich gewährten individuellen Förderung und gegebenenfalls zu den voraussichtlich förderfähigen Technologien enthält. Dieser Zeitplan wird jährlich oder immer dann aktualisiert, wenn es nötig ist, um den jüngsten Marktentwicklungen oder der voraussichtlichen Zuteilung von Fördermitteln Rechnung zu tragen."</w:t>
      </w:r>
    </w:p>
    <w:p w14:paraId="164087C1" w14:textId="77777777" w:rsidR="0062020F" w:rsidRPr="0062020F" w:rsidRDefault="0062020F" w:rsidP="00231590">
      <w:pPr>
        <w:jc w:val="both"/>
        <w:rPr>
          <w:lang w:val="de-DE"/>
        </w:rPr>
      </w:pPr>
    </w:p>
    <w:p w14:paraId="44A4AEEF" w14:textId="77777777" w:rsidR="0062020F" w:rsidRPr="0062020F" w:rsidRDefault="0062020F" w:rsidP="00231590">
      <w:pPr>
        <w:jc w:val="both"/>
        <w:rPr>
          <w:lang w:val="de-DE"/>
        </w:rPr>
      </w:pPr>
    </w:p>
    <w:p w14:paraId="7CD7ED06" w14:textId="77777777" w:rsidR="0062020F" w:rsidRPr="0062020F" w:rsidRDefault="0062020F" w:rsidP="00E024EE">
      <w:pPr>
        <w:ind w:firstLine="708"/>
        <w:jc w:val="both"/>
        <w:rPr>
          <w:lang w:val="de-DE"/>
        </w:rPr>
      </w:pPr>
      <w:r w:rsidRPr="0062020F">
        <w:rPr>
          <w:b/>
          <w:bCs/>
          <w:lang w:val="de-DE"/>
        </w:rPr>
        <w:t>Art. 15 </w:t>
      </w:r>
      <w:r w:rsidRPr="0062020F">
        <w:rPr>
          <w:b/>
          <w:lang w:val="de-DE"/>
        </w:rPr>
        <w:t>-</w:t>
      </w:r>
      <w:r w:rsidRPr="0062020F">
        <w:rPr>
          <w:lang w:val="de-DE"/>
        </w:rPr>
        <w:t xml:space="preserve"> Artikel 23 desselben Gesetzes, zuletzt abgeändert durch das Gesetz vom 21. Mai 2023, wird wie folgt abgeändert:</w:t>
      </w:r>
    </w:p>
    <w:p w14:paraId="02ACF618" w14:textId="77777777" w:rsidR="0062020F" w:rsidRPr="0062020F" w:rsidRDefault="0062020F" w:rsidP="00231590">
      <w:pPr>
        <w:jc w:val="both"/>
        <w:rPr>
          <w:lang w:val="de-DE"/>
        </w:rPr>
      </w:pPr>
    </w:p>
    <w:p w14:paraId="4069B463" w14:textId="77777777" w:rsidR="0062020F" w:rsidRPr="0062020F" w:rsidRDefault="0062020F" w:rsidP="00E024EE">
      <w:pPr>
        <w:ind w:firstLine="708"/>
        <w:jc w:val="both"/>
        <w:rPr>
          <w:lang w:val="de-DE"/>
        </w:rPr>
      </w:pPr>
      <w:r w:rsidRPr="0062020F">
        <w:rPr>
          <w:lang w:val="de-DE"/>
        </w:rPr>
        <w:t>1. In § 1 Absatz 2 wird eine Nr. 5</w:t>
      </w:r>
      <w:r w:rsidRPr="0062020F">
        <w:rPr>
          <w:i/>
          <w:iCs/>
          <w:lang w:val="de-DE"/>
        </w:rPr>
        <w:t>ter</w:t>
      </w:r>
      <w:r w:rsidRPr="0062020F">
        <w:rPr>
          <w:lang w:val="de-DE"/>
        </w:rPr>
        <w:t xml:space="preserve"> mit folgendem Wortlaut eingefügt:</w:t>
      </w:r>
    </w:p>
    <w:p w14:paraId="323A0040" w14:textId="77777777" w:rsidR="0062020F" w:rsidRPr="0062020F" w:rsidRDefault="0062020F" w:rsidP="00231590">
      <w:pPr>
        <w:jc w:val="both"/>
        <w:rPr>
          <w:lang w:val="de-DE"/>
        </w:rPr>
      </w:pPr>
    </w:p>
    <w:p w14:paraId="76287043" w14:textId="77777777" w:rsidR="0062020F" w:rsidRPr="0062020F" w:rsidRDefault="0062020F" w:rsidP="00E024EE">
      <w:pPr>
        <w:ind w:firstLine="708"/>
        <w:jc w:val="both"/>
        <w:rPr>
          <w:lang w:val="de-DE"/>
        </w:rPr>
      </w:pPr>
      <w:r w:rsidRPr="0062020F">
        <w:rPr>
          <w:lang w:val="de-DE"/>
        </w:rPr>
        <w:t>"5</w:t>
      </w:r>
      <w:r w:rsidRPr="0062020F">
        <w:rPr>
          <w:i/>
          <w:lang w:val="de-DE"/>
        </w:rPr>
        <w:t>ter</w:t>
      </w:r>
      <w:r w:rsidRPr="0062020F">
        <w:rPr>
          <w:lang w:val="de-DE"/>
        </w:rPr>
        <w:t>. Unterstützung und Erleichterung des Ausbaus der Eigenversorgung mit erneuerbarer Elektrizität - auf der Grundlage einer Bewertung der ungerechtfertigten Hindernisse und des Potenzials, die in Bezug auf die Eigenversorgung mit erneuerbarer Elektrizität bestehen,".</w:t>
      </w:r>
    </w:p>
    <w:p w14:paraId="0867B274" w14:textId="77777777" w:rsidR="0062020F" w:rsidRPr="0062020F" w:rsidRDefault="0062020F" w:rsidP="00231590">
      <w:pPr>
        <w:jc w:val="both"/>
        <w:rPr>
          <w:lang w:val="de-DE"/>
        </w:rPr>
      </w:pPr>
    </w:p>
    <w:p w14:paraId="0D35C637" w14:textId="77777777" w:rsidR="0062020F" w:rsidRPr="0062020F" w:rsidRDefault="0062020F" w:rsidP="00E024EE">
      <w:pPr>
        <w:ind w:firstLine="708"/>
        <w:jc w:val="both"/>
        <w:rPr>
          <w:lang w:val="de-DE"/>
        </w:rPr>
      </w:pPr>
      <w:r w:rsidRPr="0062020F">
        <w:rPr>
          <w:lang w:val="de-DE"/>
        </w:rPr>
        <w:t>2. Paragraph 2 Absatz 2 wird durch eine Nr. 53 mit folgendem Wortlaut ergänzt:</w:t>
      </w:r>
    </w:p>
    <w:p w14:paraId="6301D6B0" w14:textId="77777777" w:rsidR="0062020F" w:rsidRPr="0062020F" w:rsidRDefault="0062020F" w:rsidP="00231590">
      <w:pPr>
        <w:jc w:val="both"/>
        <w:rPr>
          <w:lang w:val="de-DE"/>
        </w:rPr>
      </w:pPr>
    </w:p>
    <w:p w14:paraId="58960C4E" w14:textId="77777777" w:rsidR="0062020F" w:rsidRPr="0062020F" w:rsidRDefault="0062020F" w:rsidP="00E024EE">
      <w:pPr>
        <w:ind w:firstLine="708"/>
        <w:jc w:val="both"/>
        <w:rPr>
          <w:lang w:val="de-DE"/>
        </w:rPr>
      </w:pPr>
      <w:r w:rsidRPr="0062020F">
        <w:rPr>
          <w:lang w:val="de-DE"/>
        </w:rPr>
        <w:t>"53. eine Bewertung der ungerechtfertigten Hindernisse und des Potenzials, die in Bezug auf die Eigenversorgung mit erneuerbarer Elektrizität bestehen, durchführen und diese Bewertung mindestens alle fünf Jahre aktualisieren."</w:t>
      </w:r>
    </w:p>
    <w:p w14:paraId="0F62FB88" w14:textId="77777777" w:rsidR="0062020F" w:rsidRPr="0062020F" w:rsidRDefault="0062020F" w:rsidP="00E024EE">
      <w:pPr>
        <w:jc w:val="both"/>
        <w:rPr>
          <w:lang w:val="de-DE"/>
        </w:rPr>
      </w:pPr>
    </w:p>
    <w:p w14:paraId="63585929" w14:textId="77777777" w:rsidR="0062020F" w:rsidRPr="0062020F" w:rsidRDefault="0062020F" w:rsidP="00E024EE">
      <w:pPr>
        <w:jc w:val="both"/>
        <w:rPr>
          <w:lang w:val="de-DE"/>
        </w:rPr>
      </w:pPr>
    </w:p>
    <w:p w14:paraId="4F61620B" w14:textId="77777777" w:rsidR="0062020F" w:rsidRPr="0062020F" w:rsidRDefault="0062020F" w:rsidP="00E024EE">
      <w:pPr>
        <w:jc w:val="center"/>
        <w:rPr>
          <w:lang w:val="de-DE"/>
        </w:rPr>
      </w:pPr>
      <w:r w:rsidRPr="0062020F">
        <w:rPr>
          <w:lang w:val="de-DE"/>
        </w:rPr>
        <w:t>(...)</w:t>
      </w:r>
    </w:p>
    <w:p w14:paraId="65FB2C44" w14:textId="77777777" w:rsidR="0062020F" w:rsidRPr="0062020F" w:rsidRDefault="0062020F" w:rsidP="00231590">
      <w:pPr>
        <w:jc w:val="both"/>
        <w:rPr>
          <w:lang w:val="de-DE"/>
        </w:rPr>
      </w:pPr>
    </w:p>
    <w:p w14:paraId="6FDE1899" w14:textId="77777777" w:rsidR="0062020F" w:rsidRPr="0062020F" w:rsidRDefault="0062020F" w:rsidP="00231590">
      <w:pPr>
        <w:jc w:val="both"/>
        <w:rPr>
          <w:lang w:val="de-DE"/>
        </w:rPr>
      </w:pPr>
    </w:p>
    <w:p w14:paraId="36629500" w14:textId="77777777" w:rsidR="0062020F" w:rsidRPr="0062020F" w:rsidRDefault="0062020F" w:rsidP="00E024EE">
      <w:pPr>
        <w:jc w:val="center"/>
        <w:rPr>
          <w:lang w:val="de-DE"/>
        </w:rPr>
      </w:pPr>
      <w:r w:rsidRPr="0062020F">
        <w:rPr>
          <w:lang w:val="de-DE"/>
        </w:rPr>
        <w:t xml:space="preserve">KAPITEL 14 - </w:t>
      </w:r>
      <w:r w:rsidRPr="0062020F">
        <w:rPr>
          <w:i/>
          <w:lang w:val="de-DE"/>
        </w:rPr>
        <w:t>Schlussbestimmungen</w:t>
      </w:r>
    </w:p>
    <w:p w14:paraId="7EFAFEBB" w14:textId="77777777" w:rsidR="0062020F" w:rsidRPr="0062020F" w:rsidRDefault="0062020F" w:rsidP="00231590">
      <w:pPr>
        <w:jc w:val="both"/>
        <w:rPr>
          <w:lang w:val="de-DE"/>
        </w:rPr>
      </w:pPr>
    </w:p>
    <w:p w14:paraId="7E0B550D" w14:textId="77777777" w:rsidR="0062020F" w:rsidRPr="0062020F" w:rsidRDefault="0062020F" w:rsidP="00231590">
      <w:pPr>
        <w:jc w:val="both"/>
        <w:rPr>
          <w:lang w:val="de-DE"/>
        </w:rPr>
      </w:pPr>
    </w:p>
    <w:p w14:paraId="13CABD26" w14:textId="77777777" w:rsidR="0062020F" w:rsidRPr="0062020F" w:rsidRDefault="0062020F" w:rsidP="00E024EE">
      <w:pPr>
        <w:ind w:firstLine="708"/>
        <w:jc w:val="both"/>
        <w:rPr>
          <w:lang w:val="de-DE"/>
        </w:rPr>
      </w:pPr>
      <w:r w:rsidRPr="0062020F">
        <w:rPr>
          <w:b/>
          <w:bCs/>
          <w:lang w:val="de-DE"/>
        </w:rPr>
        <w:t>Art. 19</w:t>
      </w:r>
      <w:r w:rsidRPr="0062020F">
        <w:rPr>
          <w:b/>
          <w:lang w:val="de-DE"/>
        </w:rPr>
        <w:t> -</w:t>
      </w:r>
      <w:r w:rsidRPr="0062020F">
        <w:rPr>
          <w:lang w:val="de-DE"/>
        </w:rPr>
        <w:t xml:space="preserve"> Vorliegendes Gesetz findet keine Anwendung auf das Ministerium der Landesverteidigung und auf Erdölgesellschaften und Anbieter gasförmiger Kraftstoffe, die jährlich weniger als 3.600 GJ flüssiger oder gasförmiger Kraftstoffe in den steuerrechtlich freien Verkehr überführen.</w:t>
      </w:r>
    </w:p>
    <w:p w14:paraId="63C72428" w14:textId="77777777" w:rsidR="0062020F" w:rsidRPr="0062020F" w:rsidRDefault="0062020F" w:rsidP="00231590">
      <w:pPr>
        <w:jc w:val="both"/>
        <w:rPr>
          <w:lang w:val="de-DE"/>
        </w:rPr>
      </w:pPr>
    </w:p>
    <w:p w14:paraId="69C30C10" w14:textId="77777777" w:rsidR="0062020F" w:rsidRPr="0062020F" w:rsidRDefault="0062020F" w:rsidP="00231590">
      <w:pPr>
        <w:jc w:val="both"/>
        <w:rPr>
          <w:lang w:val="de-DE"/>
        </w:rPr>
      </w:pPr>
    </w:p>
    <w:p w14:paraId="7AB2B37A" w14:textId="77777777" w:rsidR="0062020F" w:rsidRPr="0062020F" w:rsidRDefault="0062020F" w:rsidP="00E024EE">
      <w:pPr>
        <w:ind w:firstLine="708"/>
        <w:jc w:val="both"/>
        <w:rPr>
          <w:lang w:val="de-DE"/>
        </w:rPr>
      </w:pPr>
      <w:r w:rsidRPr="0062020F">
        <w:rPr>
          <w:b/>
          <w:bCs/>
          <w:lang w:val="de-DE"/>
        </w:rPr>
        <w:t>Art. 20 </w:t>
      </w:r>
      <w:r w:rsidRPr="0062020F">
        <w:rPr>
          <w:b/>
          <w:lang w:val="de-DE"/>
        </w:rPr>
        <w:t>-</w:t>
      </w:r>
      <w:r w:rsidRPr="0062020F">
        <w:rPr>
          <w:lang w:val="de-DE"/>
        </w:rPr>
        <w:t xml:space="preserve"> Das Gesetz vom 17. Juli 2013 über die Mindest-Nennvolumen nachhaltiger Biokraftstoffe, die den jährlich in den steuerrechtlich freien Verkehr überführten Volumen fossiler Kraftstoffe beigemischt werden müssen, zuletzt abgeändert durch das Gesetz vom 16. Dezember 2022, wird aufgehoben.</w:t>
      </w:r>
    </w:p>
    <w:p w14:paraId="349C3E37" w14:textId="77777777" w:rsidR="0062020F" w:rsidRPr="0062020F" w:rsidRDefault="0062020F" w:rsidP="00231590">
      <w:pPr>
        <w:jc w:val="both"/>
        <w:rPr>
          <w:lang w:val="de-DE"/>
        </w:rPr>
      </w:pPr>
    </w:p>
    <w:p w14:paraId="690B9739" w14:textId="77777777" w:rsidR="0062020F" w:rsidRPr="0062020F" w:rsidRDefault="0062020F" w:rsidP="00231590">
      <w:pPr>
        <w:jc w:val="both"/>
        <w:rPr>
          <w:lang w:val="de-DE"/>
        </w:rPr>
      </w:pPr>
    </w:p>
    <w:p w14:paraId="17474914" w14:textId="77777777" w:rsidR="0062020F" w:rsidRDefault="0062020F">
      <w:pPr>
        <w:rPr>
          <w:b/>
          <w:bCs/>
          <w:lang w:val="de-DE"/>
        </w:rPr>
      </w:pPr>
      <w:r>
        <w:rPr>
          <w:b/>
          <w:bCs/>
          <w:lang w:val="de-DE"/>
        </w:rPr>
        <w:br w:type="page"/>
      </w:r>
    </w:p>
    <w:p w14:paraId="7CB55E57" w14:textId="28426C73" w:rsidR="0062020F" w:rsidRPr="0062020F" w:rsidRDefault="0062020F" w:rsidP="00E024EE">
      <w:pPr>
        <w:ind w:firstLine="708"/>
        <w:jc w:val="both"/>
        <w:rPr>
          <w:lang w:val="de-DE"/>
        </w:rPr>
      </w:pPr>
      <w:r w:rsidRPr="0062020F">
        <w:rPr>
          <w:b/>
          <w:bCs/>
          <w:lang w:val="de-DE"/>
        </w:rPr>
        <w:lastRenderedPageBreak/>
        <w:t>Art. 21 </w:t>
      </w:r>
      <w:r w:rsidRPr="0062020F">
        <w:rPr>
          <w:b/>
          <w:lang w:val="de-DE"/>
        </w:rPr>
        <w:t>-</w:t>
      </w:r>
      <w:r w:rsidRPr="0062020F">
        <w:rPr>
          <w:lang w:val="de-DE"/>
        </w:rPr>
        <w:t xml:space="preserve"> Vorliegendes Gesetz tritt am 1. Januar 2024 in Kraft.</w:t>
      </w:r>
    </w:p>
    <w:p w14:paraId="54F11A61" w14:textId="77777777" w:rsidR="0062020F" w:rsidRPr="0062020F" w:rsidRDefault="0062020F" w:rsidP="00231590">
      <w:pPr>
        <w:jc w:val="both"/>
        <w:rPr>
          <w:lang w:val="de-DE"/>
        </w:rPr>
      </w:pPr>
    </w:p>
    <w:p w14:paraId="408DCEEF" w14:textId="77777777" w:rsidR="0062020F" w:rsidRPr="0062020F" w:rsidRDefault="0062020F" w:rsidP="00231590">
      <w:pPr>
        <w:jc w:val="both"/>
        <w:rPr>
          <w:lang w:val="de-DE"/>
        </w:rPr>
      </w:pPr>
    </w:p>
    <w:p w14:paraId="1B487C8B" w14:textId="77777777" w:rsidR="0062020F" w:rsidRPr="0062020F" w:rsidRDefault="0062020F" w:rsidP="00180336">
      <w:pPr>
        <w:ind w:firstLine="708"/>
        <w:jc w:val="both"/>
        <w:rPr>
          <w:lang w:val="de-DE"/>
        </w:rPr>
      </w:pPr>
      <w:r w:rsidRPr="0062020F">
        <w:rPr>
          <w:lang w:val="de-DE"/>
        </w:rPr>
        <w:t xml:space="preserve">Wir fertigen das vorliegende Gesetz aus und ordnen an, dass es mit dem Staatssiegel versehen und durch das </w:t>
      </w:r>
      <w:r w:rsidRPr="0062020F">
        <w:rPr>
          <w:i/>
          <w:lang w:val="de-DE"/>
        </w:rPr>
        <w:t>Belgische Staatsblatt</w:t>
      </w:r>
      <w:r w:rsidRPr="0062020F">
        <w:rPr>
          <w:lang w:val="de-DE"/>
        </w:rPr>
        <w:t xml:space="preserve"> veröffentlicht wird.</w:t>
      </w:r>
    </w:p>
    <w:p w14:paraId="46DEB28B" w14:textId="77777777" w:rsidR="0062020F" w:rsidRPr="0062020F" w:rsidRDefault="0062020F" w:rsidP="00231590">
      <w:pPr>
        <w:jc w:val="both"/>
        <w:rPr>
          <w:lang w:val="de-DE"/>
        </w:rPr>
      </w:pPr>
    </w:p>
    <w:p w14:paraId="6874545D" w14:textId="77777777" w:rsidR="0062020F" w:rsidRPr="0062020F" w:rsidRDefault="0062020F" w:rsidP="00231590">
      <w:pPr>
        <w:jc w:val="both"/>
        <w:rPr>
          <w:lang w:val="de-DE"/>
        </w:rPr>
      </w:pPr>
    </w:p>
    <w:p w14:paraId="51D553C4" w14:textId="77777777" w:rsidR="0062020F" w:rsidRPr="0062020F" w:rsidRDefault="0062020F" w:rsidP="00180336">
      <w:pPr>
        <w:ind w:firstLine="708"/>
        <w:jc w:val="both"/>
        <w:rPr>
          <w:lang w:val="de-DE"/>
        </w:rPr>
      </w:pPr>
      <w:r w:rsidRPr="0062020F">
        <w:rPr>
          <w:lang w:val="de-DE"/>
        </w:rPr>
        <w:t>Gegeben zu Motril, den 31. Juli 2023</w:t>
      </w:r>
    </w:p>
    <w:p w14:paraId="7FFB7A30" w14:textId="77777777" w:rsidR="0062020F" w:rsidRPr="0062020F" w:rsidRDefault="0062020F" w:rsidP="00231590">
      <w:pPr>
        <w:jc w:val="both"/>
        <w:rPr>
          <w:lang w:val="de-DE"/>
        </w:rPr>
      </w:pPr>
    </w:p>
    <w:p w14:paraId="6D8B8A88" w14:textId="77777777" w:rsidR="0062020F" w:rsidRPr="0062020F" w:rsidRDefault="0062020F" w:rsidP="00231590">
      <w:pPr>
        <w:jc w:val="both"/>
        <w:rPr>
          <w:lang w:val="de-DE"/>
        </w:rPr>
      </w:pPr>
    </w:p>
    <w:p w14:paraId="1D4E706E" w14:textId="77777777" w:rsidR="0062020F" w:rsidRPr="0062020F" w:rsidRDefault="0062020F" w:rsidP="00180336">
      <w:pPr>
        <w:jc w:val="center"/>
        <w:rPr>
          <w:lang w:val="de-DE"/>
        </w:rPr>
      </w:pPr>
      <w:r w:rsidRPr="0062020F">
        <w:rPr>
          <w:lang w:val="de-DE"/>
        </w:rPr>
        <w:t>PHILIPPE</w:t>
      </w:r>
    </w:p>
    <w:p w14:paraId="653BEA86" w14:textId="77777777" w:rsidR="0062020F" w:rsidRPr="0062020F" w:rsidRDefault="0062020F" w:rsidP="00180336">
      <w:pPr>
        <w:jc w:val="center"/>
        <w:rPr>
          <w:lang w:val="de-DE"/>
        </w:rPr>
      </w:pPr>
    </w:p>
    <w:p w14:paraId="46A10A38" w14:textId="77777777" w:rsidR="0062020F" w:rsidRPr="0062020F" w:rsidRDefault="0062020F" w:rsidP="00180336">
      <w:pPr>
        <w:jc w:val="center"/>
        <w:rPr>
          <w:lang w:val="de-DE"/>
        </w:rPr>
      </w:pPr>
      <w:r w:rsidRPr="0062020F">
        <w:rPr>
          <w:lang w:val="de-DE"/>
        </w:rPr>
        <w:t>Von Königs wegen:</w:t>
      </w:r>
    </w:p>
    <w:p w14:paraId="2B11E3A2" w14:textId="77777777" w:rsidR="0062020F" w:rsidRPr="0062020F" w:rsidRDefault="0062020F" w:rsidP="00180336">
      <w:pPr>
        <w:jc w:val="center"/>
        <w:rPr>
          <w:lang w:val="de-DE"/>
        </w:rPr>
      </w:pPr>
    </w:p>
    <w:p w14:paraId="685676CC" w14:textId="77777777" w:rsidR="0062020F" w:rsidRPr="0062020F" w:rsidRDefault="0062020F" w:rsidP="00180336">
      <w:pPr>
        <w:jc w:val="center"/>
        <w:rPr>
          <w:lang w:val="de-DE"/>
        </w:rPr>
      </w:pPr>
      <w:r w:rsidRPr="0062020F">
        <w:rPr>
          <w:lang w:val="de-DE"/>
        </w:rPr>
        <w:t>Die Ministerin der Energie</w:t>
      </w:r>
    </w:p>
    <w:p w14:paraId="58184BBF" w14:textId="77777777" w:rsidR="0062020F" w:rsidRPr="0062020F" w:rsidRDefault="0062020F" w:rsidP="00180336">
      <w:pPr>
        <w:jc w:val="center"/>
        <w:rPr>
          <w:lang w:val="de-DE"/>
        </w:rPr>
      </w:pPr>
      <w:r w:rsidRPr="0062020F">
        <w:rPr>
          <w:lang w:val="de-DE"/>
        </w:rPr>
        <w:t>T. VAN DER STRAETEN</w:t>
      </w:r>
    </w:p>
    <w:p w14:paraId="371EBDD9" w14:textId="77777777" w:rsidR="0062020F" w:rsidRPr="0062020F" w:rsidRDefault="0062020F" w:rsidP="00180336">
      <w:pPr>
        <w:jc w:val="center"/>
        <w:rPr>
          <w:lang w:val="de-DE"/>
        </w:rPr>
      </w:pPr>
    </w:p>
    <w:p w14:paraId="3165F10B" w14:textId="77777777" w:rsidR="0062020F" w:rsidRPr="0062020F" w:rsidRDefault="0062020F" w:rsidP="00180336">
      <w:pPr>
        <w:jc w:val="center"/>
        <w:rPr>
          <w:lang w:val="de-DE"/>
        </w:rPr>
      </w:pPr>
      <w:r w:rsidRPr="0062020F">
        <w:rPr>
          <w:lang w:val="de-DE"/>
        </w:rPr>
        <w:t>Mit dem Staatssiegel versehen:</w:t>
      </w:r>
    </w:p>
    <w:p w14:paraId="2EDD0A37" w14:textId="77777777" w:rsidR="0062020F" w:rsidRPr="0062020F" w:rsidRDefault="0062020F" w:rsidP="00180336">
      <w:pPr>
        <w:jc w:val="center"/>
        <w:rPr>
          <w:lang w:val="de-DE"/>
        </w:rPr>
      </w:pPr>
    </w:p>
    <w:p w14:paraId="70DDA3F0" w14:textId="77777777" w:rsidR="0062020F" w:rsidRPr="0062020F" w:rsidRDefault="0062020F" w:rsidP="00180336">
      <w:pPr>
        <w:jc w:val="center"/>
        <w:rPr>
          <w:lang w:val="de-DE"/>
        </w:rPr>
      </w:pPr>
      <w:r w:rsidRPr="0062020F">
        <w:rPr>
          <w:lang w:val="de-DE"/>
        </w:rPr>
        <w:t>Der Minister der Justiz</w:t>
      </w:r>
    </w:p>
    <w:p w14:paraId="01E724BA" w14:textId="77777777" w:rsidR="0062020F" w:rsidRPr="0062020F" w:rsidRDefault="0062020F" w:rsidP="00180336">
      <w:pPr>
        <w:jc w:val="center"/>
        <w:rPr>
          <w:lang w:val="de-DE"/>
        </w:rPr>
      </w:pPr>
      <w:r w:rsidRPr="0062020F">
        <w:rPr>
          <w:lang w:val="de-DE"/>
        </w:rPr>
        <w:t>V. VAN QUICKENBORNE</w:t>
      </w:r>
    </w:p>
    <w:p w14:paraId="400562DD" w14:textId="77777777" w:rsidR="00AA0401" w:rsidRPr="0062020F" w:rsidRDefault="00AA0401" w:rsidP="00A94F33">
      <w:pPr>
        <w:jc w:val="both"/>
        <w:rPr>
          <w:lang w:val="de-DE"/>
        </w:rPr>
      </w:pPr>
    </w:p>
    <w:sectPr w:rsidR="00AA0401" w:rsidRPr="0062020F" w:rsidSect="0062020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2020F"/>
    <w:rsid w:val="00682997"/>
    <w:rsid w:val="006F4381"/>
    <w:rsid w:val="007C7CFE"/>
    <w:rsid w:val="007D5F55"/>
    <w:rsid w:val="007E5F80"/>
    <w:rsid w:val="008327E5"/>
    <w:rsid w:val="008C5E6F"/>
    <w:rsid w:val="00A4603A"/>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9FC58"/>
  <w15:docId w15:val="{112375D5-2B94-42A6-8B44-DCCA66C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2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799</Words>
  <Characters>4397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2026-02-26T10:08:00Z</dcterms:created>
  <dcterms:modified xsi:type="dcterms:W3CDTF">2026-02-26T10:12:00Z</dcterms:modified>
</cp:coreProperties>
</file>