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A3E07" w14:textId="6687D460" w:rsidR="00233F36" w:rsidRPr="00533EEB" w:rsidRDefault="00533EEB" w:rsidP="00786C4F">
      <w:pPr>
        <w:jc w:val="both"/>
        <w:rPr>
          <w:lang w:val="de-DE"/>
        </w:rPr>
      </w:pPr>
      <w:r w:rsidRPr="00533EEB">
        <w:rPr>
          <w:b/>
          <w:lang w:val="de-DE"/>
        </w:rPr>
        <w:t>7. JUNI 2023 - Königlicher Erlass zur Abänderung des Königlichen Erlasses vom 26. Mai 2019 zur Festlegung des in Artikel 61/3 des Gesetzes vom 4. April 2014 über die Versicherungen erwähnten Referenzrahmens für das Recht auf Vergessenwerden im Rahmen bestimmter Personenversicherungen</w:t>
      </w:r>
    </w:p>
    <w:p w14:paraId="5E0A8C13" w14:textId="77777777" w:rsidR="00233F36" w:rsidRPr="00533EEB" w:rsidRDefault="00233F36" w:rsidP="00127CA8">
      <w:pPr>
        <w:jc w:val="both"/>
        <w:rPr>
          <w:lang w:val="de-DE"/>
        </w:rPr>
      </w:pPr>
    </w:p>
    <w:p w14:paraId="55ACA691" w14:textId="77777777" w:rsidR="00233F36" w:rsidRPr="00533EEB" w:rsidRDefault="00233F36">
      <w:pPr>
        <w:rPr>
          <w:lang w:val="de-DE"/>
        </w:rPr>
      </w:pPr>
    </w:p>
    <w:p w14:paraId="5B7EF791" w14:textId="3854868D" w:rsidR="00233F36" w:rsidRPr="00533EEB" w:rsidRDefault="00233F36" w:rsidP="000F5F44">
      <w:pPr>
        <w:jc w:val="center"/>
        <w:rPr>
          <w:i/>
          <w:lang w:val="de-DE"/>
        </w:rPr>
      </w:pPr>
      <w:r w:rsidRPr="00533EEB">
        <w:rPr>
          <w:lang w:val="de-DE"/>
        </w:rPr>
        <w:t>(</w:t>
      </w:r>
      <w:r w:rsidRPr="00533EEB">
        <w:rPr>
          <w:i/>
          <w:lang w:val="de-DE"/>
        </w:rPr>
        <w:t xml:space="preserve">Belgisches Staatsblatt </w:t>
      </w:r>
      <w:r w:rsidRPr="00533EEB">
        <w:rPr>
          <w:lang w:val="de-DE"/>
        </w:rPr>
        <w:t xml:space="preserve">vom </w:t>
      </w:r>
      <w:r w:rsidR="00533EEB" w:rsidRPr="00533EEB">
        <w:rPr>
          <w:lang w:val="de-DE"/>
        </w:rPr>
        <w:t>5. September 2024</w:t>
      </w:r>
      <w:r w:rsidRPr="00533EEB">
        <w:rPr>
          <w:lang w:val="de-DE"/>
        </w:rPr>
        <w:t>)</w:t>
      </w:r>
    </w:p>
    <w:p w14:paraId="30EC6F49" w14:textId="77777777" w:rsidR="00233F36" w:rsidRPr="00533EEB" w:rsidRDefault="00233F36" w:rsidP="000F5F44">
      <w:pPr>
        <w:jc w:val="center"/>
        <w:rPr>
          <w:lang w:val="de-DE"/>
        </w:rPr>
      </w:pPr>
    </w:p>
    <w:p w14:paraId="797615CA" w14:textId="77777777" w:rsidR="00233F36" w:rsidRPr="00533EEB" w:rsidRDefault="00233F36" w:rsidP="00CA081B">
      <w:pPr>
        <w:jc w:val="center"/>
        <w:rPr>
          <w:lang w:val="de-DE"/>
        </w:rPr>
      </w:pPr>
    </w:p>
    <w:p w14:paraId="422ED128" w14:textId="77777777" w:rsidR="00233F36" w:rsidRPr="00533EEB" w:rsidRDefault="00233F36" w:rsidP="00CA081B">
      <w:pPr>
        <w:jc w:val="both"/>
        <w:rPr>
          <w:lang w:val="de-DE"/>
        </w:rPr>
      </w:pPr>
      <w:r w:rsidRPr="00533EEB">
        <w:rPr>
          <w:lang w:val="de-DE"/>
        </w:rPr>
        <w:t>Diese deutsche Übersetzung ist von der Zentralen Dienststelle für Deutsche Übersetzungen in Malmedy erstellt worden.</w:t>
      </w:r>
    </w:p>
    <w:p w14:paraId="191ABF3B" w14:textId="77777777" w:rsidR="00E1687C" w:rsidRPr="00533EEB" w:rsidRDefault="00E1687C" w:rsidP="00CA081B">
      <w:pPr>
        <w:jc w:val="both"/>
        <w:rPr>
          <w:lang w:val="de-DE"/>
        </w:rPr>
      </w:pPr>
    </w:p>
    <w:p w14:paraId="3226E9CA" w14:textId="77777777" w:rsidR="00E1687C" w:rsidRPr="00533EEB" w:rsidRDefault="00E1687C" w:rsidP="00CA081B">
      <w:pPr>
        <w:jc w:val="both"/>
        <w:rPr>
          <w:lang w:val="de-DE"/>
        </w:rPr>
      </w:pPr>
    </w:p>
    <w:p w14:paraId="19E3BC6F" w14:textId="77777777" w:rsidR="00233F36" w:rsidRPr="00533EEB" w:rsidRDefault="00233F36" w:rsidP="006F4381">
      <w:pPr>
        <w:jc w:val="both"/>
        <w:rPr>
          <w:lang w:val="de-DE"/>
        </w:rPr>
        <w:sectPr w:rsidR="00233F36" w:rsidRPr="00533EEB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5FD50F3A" w14:textId="77777777" w:rsidR="00533EEB" w:rsidRPr="00533EEB" w:rsidRDefault="00533EEB" w:rsidP="006957FF">
      <w:pPr>
        <w:jc w:val="center"/>
        <w:rPr>
          <w:b/>
          <w:bCs/>
          <w:lang w:val="de-DE"/>
        </w:rPr>
      </w:pPr>
      <w:r w:rsidRPr="00533EEB">
        <w:rPr>
          <w:b/>
          <w:lang w:val="de-DE"/>
        </w:rPr>
        <w:lastRenderedPageBreak/>
        <w:t>FÖDERALER ÖFFENTLICHER DIENST WIRTSCHAFT, KMB, MITTELSTAND UND ENERGIE</w:t>
      </w:r>
    </w:p>
    <w:p w14:paraId="0BB61DD5" w14:textId="77777777" w:rsidR="00533EEB" w:rsidRPr="00533EEB" w:rsidRDefault="00533EEB" w:rsidP="006957FF">
      <w:pPr>
        <w:jc w:val="both"/>
        <w:rPr>
          <w:b/>
          <w:bCs/>
          <w:lang w:val="de-DE"/>
        </w:rPr>
      </w:pPr>
    </w:p>
    <w:p w14:paraId="64A32E39" w14:textId="77777777" w:rsidR="00533EEB" w:rsidRPr="00533EEB" w:rsidRDefault="00533EEB" w:rsidP="006957FF">
      <w:pPr>
        <w:jc w:val="both"/>
        <w:rPr>
          <w:b/>
          <w:bCs/>
          <w:lang w:val="de-DE"/>
        </w:rPr>
      </w:pPr>
    </w:p>
    <w:p w14:paraId="6331233C" w14:textId="77777777" w:rsidR="00533EEB" w:rsidRPr="00533EEB" w:rsidRDefault="00533EEB" w:rsidP="006957FF">
      <w:pPr>
        <w:jc w:val="both"/>
        <w:rPr>
          <w:b/>
          <w:bCs/>
          <w:lang w:val="de-DE"/>
        </w:rPr>
      </w:pPr>
      <w:r w:rsidRPr="00533EEB">
        <w:rPr>
          <w:b/>
          <w:lang w:val="de-DE"/>
        </w:rPr>
        <w:t xml:space="preserve">7. JUNI 2023 - Königlicher Erlass </w:t>
      </w:r>
      <w:bookmarkStart w:id="0" w:name="_Hlk179289765"/>
      <w:r w:rsidRPr="00533EEB">
        <w:rPr>
          <w:b/>
          <w:lang w:val="de-DE"/>
        </w:rPr>
        <w:t>zur Abänderung des Königlichen Erlasses vom 26. Mai 2019 zur Festlegung des in Artikel 61/3 des Gesetzes vom 4. April 2014 über die Versicherungen erwähnten Referenzrahmens für das Recht auf Vergessenwerden im Rahmen bestimmter Personenversicherungen</w:t>
      </w:r>
      <w:bookmarkEnd w:id="0"/>
    </w:p>
    <w:p w14:paraId="6F21AF87" w14:textId="77777777" w:rsidR="00533EEB" w:rsidRPr="00533EEB" w:rsidRDefault="00533EEB" w:rsidP="006957FF">
      <w:pPr>
        <w:jc w:val="both"/>
        <w:rPr>
          <w:lang w:val="de-DE"/>
        </w:rPr>
      </w:pPr>
    </w:p>
    <w:p w14:paraId="7A57BC1C" w14:textId="77777777" w:rsidR="00533EEB" w:rsidRPr="00533EEB" w:rsidRDefault="00533EEB" w:rsidP="006957FF">
      <w:pPr>
        <w:jc w:val="both"/>
        <w:rPr>
          <w:lang w:val="de-DE"/>
        </w:rPr>
      </w:pPr>
    </w:p>
    <w:p w14:paraId="12D877EF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lang w:val="de-DE"/>
        </w:rPr>
        <w:tab/>
      </w:r>
      <w:r w:rsidRPr="00533EEB">
        <w:rPr>
          <w:lang w:val="de-DE"/>
        </w:rPr>
        <w:tab/>
      </w:r>
      <w:r w:rsidRPr="00533EEB">
        <w:rPr>
          <w:lang w:val="de-DE"/>
        </w:rPr>
        <w:tab/>
        <w:t>PHILIPPE, König der Belgier,</w:t>
      </w:r>
    </w:p>
    <w:p w14:paraId="157DC5BF" w14:textId="77777777" w:rsidR="00533EEB" w:rsidRPr="00533EEB" w:rsidRDefault="00533EEB" w:rsidP="006957FF">
      <w:pPr>
        <w:jc w:val="both"/>
        <w:rPr>
          <w:lang w:val="de-DE"/>
        </w:rPr>
      </w:pPr>
    </w:p>
    <w:p w14:paraId="1517F387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lang w:val="de-DE"/>
        </w:rPr>
        <w:tab/>
      </w:r>
      <w:r w:rsidRPr="00533EEB">
        <w:rPr>
          <w:lang w:val="de-DE"/>
        </w:rPr>
        <w:tab/>
        <w:t>Allen Gegenwärtigen und Zukünftigen, Unser Gruß!</w:t>
      </w:r>
    </w:p>
    <w:p w14:paraId="52E62BED" w14:textId="77777777" w:rsidR="00533EEB" w:rsidRPr="00533EEB" w:rsidRDefault="00533EEB" w:rsidP="006957FF">
      <w:pPr>
        <w:jc w:val="both"/>
        <w:rPr>
          <w:lang w:val="de-DE"/>
        </w:rPr>
      </w:pPr>
    </w:p>
    <w:p w14:paraId="6330118A" w14:textId="77777777" w:rsidR="00533EEB" w:rsidRPr="00533EEB" w:rsidRDefault="00533EEB" w:rsidP="006957FF">
      <w:pPr>
        <w:jc w:val="both"/>
        <w:rPr>
          <w:lang w:val="de-DE"/>
        </w:rPr>
      </w:pPr>
    </w:p>
    <w:p w14:paraId="461DD14B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lang w:val="de-DE"/>
        </w:rPr>
        <w:tab/>
        <w:t>Aufgrund des Gesetzes vom 4. April 2014 über die Versicherungen, des Artikels 61/3 § 1 Absatz 1 und § 2 Absatz 1, eingefügt durch das Gesetz vom 4. April 2019 und ersetzt durch das Gesetz vom 30. Oktober 2022, und des Artikels 61/5 § 1 Absatz 2, eingefügt durch das Gesetz vom 30. Oktober 2022;</w:t>
      </w:r>
    </w:p>
    <w:p w14:paraId="00F3153F" w14:textId="77777777" w:rsidR="00533EEB" w:rsidRPr="00533EEB" w:rsidRDefault="00533EEB" w:rsidP="006957FF">
      <w:pPr>
        <w:jc w:val="both"/>
        <w:rPr>
          <w:lang w:val="de-DE"/>
        </w:rPr>
      </w:pPr>
    </w:p>
    <w:p w14:paraId="0882D40D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lang w:val="de-DE"/>
        </w:rPr>
        <w:tab/>
        <w:t>Aufgrund des Königlichen Erlasses vom 26. Mai 2019 zur Festlegung des in Artikel 61/3 des Gesetzes vom 4. April 2014 über die Versicherungen erwähnten Referenzrahmens für das Recht auf Vergessenwerden im Rahmen bestimmter Personenversicherungen;</w:t>
      </w:r>
    </w:p>
    <w:p w14:paraId="1E0DB91D" w14:textId="77777777" w:rsidR="00533EEB" w:rsidRPr="00533EEB" w:rsidRDefault="00533EEB" w:rsidP="006957FF">
      <w:pPr>
        <w:jc w:val="both"/>
        <w:rPr>
          <w:lang w:val="de-DE"/>
        </w:rPr>
      </w:pPr>
    </w:p>
    <w:p w14:paraId="0F8349F8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lang w:val="de-DE"/>
        </w:rPr>
        <w:tab/>
        <w:t>Aufgrund der Stellungnahme der FSMA vom 13. Dezember 2022;</w:t>
      </w:r>
    </w:p>
    <w:p w14:paraId="3AB9624F" w14:textId="77777777" w:rsidR="00533EEB" w:rsidRPr="00533EEB" w:rsidRDefault="00533EEB" w:rsidP="006957FF">
      <w:pPr>
        <w:jc w:val="both"/>
        <w:rPr>
          <w:lang w:val="de-DE"/>
        </w:rPr>
      </w:pPr>
    </w:p>
    <w:p w14:paraId="74FD3D29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lang w:val="de-DE"/>
        </w:rPr>
        <w:tab/>
        <w:t>Aufgrund des Antrags auf Begutachtung binnen einer Frist von dreißig Tagen, der am 1. März 2023 beim Staatsrat eingereicht worden ist, in Anwendung von Artikel 84 § 1 Absatz 1 Nr. 2 der am 12. Januar 1973 koordinierten Gesetze über den Staatsrat;</w:t>
      </w:r>
    </w:p>
    <w:p w14:paraId="322048EE" w14:textId="77777777" w:rsidR="00533EEB" w:rsidRPr="00533EEB" w:rsidRDefault="00533EEB" w:rsidP="006957FF">
      <w:pPr>
        <w:jc w:val="both"/>
        <w:rPr>
          <w:lang w:val="de-DE"/>
        </w:rPr>
      </w:pPr>
    </w:p>
    <w:p w14:paraId="1B9A8FD4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lang w:val="de-DE"/>
        </w:rPr>
        <w:tab/>
        <w:t>In der Erwägung, dass kein Gutachten binnen dieser Frist übermittelt worden ist;</w:t>
      </w:r>
    </w:p>
    <w:p w14:paraId="138C88CB" w14:textId="77777777" w:rsidR="00533EEB" w:rsidRPr="00533EEB" w:rsidRDefault="00533EEB" w:rsidP="006957FF">
      <w:pPr>
        <w:jc w:val="both"/>
        <w:rPr>
          <w:lang w:val="de-DE"/>
        </w:rPr>
      </w:pPr>
    </w:p>
    <w:p w14:paraId="11687FE2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lang w:val="de-DE"/>
        </w:rPr>
        <w:tab/>
        <w:t>Aufgrund des Artikels 84 § 4 Absatz 2 der am 12. Januar 1973 koordinierten Gesetze über den Staatsrat;</w:t>
      </w:r>
    </w:p>
    <w:p w14:paraId="70FEB40D" w14:textId="77777777" w:rsidR="00533EEB" w:rsidRPr="00533EEB" w:rsidRDefault="00533EEB" w:rsidP="006957FF">
      <w:pPr>
        <w:jc w:val="both"/>
        <w:rPr>
          <w:lang w:val="de-DE"/>
        </w:rPr>
      </w:pPr>
    </w:p>
    <w:p w14:paraId="764E4457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lang w:val="de-DE"/>
        </w:rPr>
        <w:tab/>
        <w:t>In Erwägung des Vorschlags des Föderalen Fachzentrums für Gesundheitspflege vom 5. April 2022 zur Anpassung des Referenzrahmens, mit der Referenzangabe KCE Reports 351As. D/2022/10.273/11;</w:t>
      </w:r>
    </w:p>
    <w:p w14:paraId="33A0B3EB" w14:textId="77777777" w:rsidR="00533EEB" w:rsidRPr="00533EEB" w:rsidRDefault="00533EEB" w:rsidP="006957FF">
      <w:pPr>
        <w:jc w:val="both"/>
        <w:rPr>
          <w:lang w:val="de-DE"/>
        </w:rPr>
      </w:pPr>
    </w:p>
    <w:p w14:paraId="37231105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lang w:val="de-DE"/>
        </w:rPr>
        <w:tab/>
        <w:t>In Erwägung der Stellungnahme des Tarifierungsbegleitbüros vom 15. Juni 2022 in Bezug auf den Vorschlag des Föderalen Fachzentrums für Gesundheitspflege;</w:t>
      </w:r>
    </w:p>
    <w:p w14:paraId="5750ADB4" w14:textId="77777777" w:rsidR="00533EEB" w:rsidRPr="00533EEB" w:rsidRDefault="00533EEB" w:rsidP="006957FF">
      <w:pPr>
        <w:jc w:val="both"/>
        <w:rPr>
          <w:lang w:val="de-DE"/>
        </w:rPr>
      </w:pPr>
    </w:p>
    <w:p w14:paraId="4D24B7C5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lang w:val="de-DE"/>
        </w:rPr>
        <w:tab/>
        <w:t>Auf Vorschlag des Ministers der Wirtschaft, des Ministers der Sozialen Angelegenheiten und der Volksgesundheit, des Ministers der Justiz und der Staatssekretärin für Verbraucherschutz</w:t>
      </w:r>
    </w:p>
    <w:p w14:paraId="14AAD131" w14:textId="77777777" w:rsidR="00533EEB" w:rsidRPr="00533EEB" w:rsidRDefault="00533EEB" w:rsidP="006957FF">
      <w:pPr>
        <w:jc w:val="both"/>
        <w:rPr>
          <w:lang w:val="de-DE"/>
        </w:rPr>
      </w:pPr>
    </w:p>
    <w:p w14:paraId="7828095B" w14:textId="77777777" w:rsidR="00533EEB" w:rsidRPr="00533EEB" w:rsidRDefault="00533EEB" w:rsidP="006957FF">
      <w:pPr>
        <w:jc w:val="both"/>
        <w:rPr>
          <w:lang w:val="de-DE"/>
        </w:rPr>
      </w:pPr>
    </w:p>
    <w:p w14:paraId="32FBEFFB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lang w:val="de-DE"/>
        </w:rPr>
        <w:tab/>
      </w:r>
      <w:r w:rsidRPr="00533EEB">
        <w:rPr>
          <w:lang w:val="de-DE"/>
        </w:rPr>
        <w:tab/>
        <w:t>Haben Wir beschlossen und erlassen Wir:</w:t>
      </w:r>
    </w:p>
    <w:p w14:paraId="063236D8" w14:textId="77777777" w:rsidR="00533EEB" w:rsidRPr="00533EEB" w:rsidRDefault="00533EEB" w:rsidP="006957FF">
      <w:pPr>
        <w:jc w:val="both"/>
        <w:rPr>
          <w:lang w:val="de-DE"/>
        </w:rPr>
      </w:pPr>
    </w:p>
    <w:p w14:paraId="4F6EBAF5" w14:textId="77777777" w:rsidR="00533EEB" w:rsidRPr="00533EEB" w:rsidRDefault="00533EEB" w:rsidP="006957FF">
      <w:pPr>
        <w:jc w:val="both"/>
        <w:rPr>
          <w:lang w:val="de-DE"/>
        </w:rPr>
      </w:pPr>
    </w:p>
    <w:p w14:paraId="66073593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b/>
          <w:lang w:val="de-DE"/>
        </w:rPr>
        <w:tab/>
        <w:t>Artikel 1 -</w:t>
      </w:r>
      <w:r w:rsidRPr="00533EEB">
        <w:rPr>
          <w:lang w:val="de-DE"/>
        </w:rPr>
        <w:t xml:space="preserve"> Im Königlichen Erlass vom 26. Mai 2019 zur Festlegung des in Artikel 61/3 des Gesetzes vom 4. April 2014 über die Versicherungen erwähnten Referenzrahmens für das Recht auf Vergessenwerden im Rahmen bestimmter Personenversicherungen wird Anlage 1 durch die vorliegendem Erlass beigefügte Anlage ersetzt.</w:t>
      </w:r>
    </w:p>
    <w:p w14:paraId="3D9F29CF" w14:textId="77777777" w:rsidR="00533EEB" w:rsidRPr="00533EEB" w:rsidRDefault="00533EEB" w:rsidP="006957FF">
      <w:pPr>
        <w:jc w:val="both"/>
        <w:rPr>
          <w:lang w:val="de-DE"/>
        </w:rPr>
      </w:pPr>
    </w:p>
    <w:p w14:paraId="1E13C923" w14:textId="77777777" w:rsidR="00533EEB" w:rsidRPr="00533EEB" w:rsidRDefault="00533EEB" w:rsidP="006957FF">
      <w:pPr>
        <w:jc w:val="both"/>
        <w:rPr>
          <w:lang w:val="de-DE"/>
        </w:rPr>
      </w:pPr>
    </w:p>
    <w:p w14:paraId="7817FC82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b/>
          <w:lang w:val="de-DE"/>
        </w:rPr>
        <w:tab/>
        <w:t>Art. 2 -</w:t>
      </w:r>
      <w:r w:rsidRPr="00533EEB">
        <w:rPr>
          <w:lang w:val="de-DE"/>
        </w:rPr>
        <w:t xml:space="preserve"> In der Überschrift der Anlage 2 zum selben Königlichen Erlass werden die Wörter "Art. 61/3 § 2" durch die Wörter "Art. 61/4" ersetzt.</w:t>
      </w:r>
    </w:p>
    <w:p w14:paraId="4B3EFB4A" w14:textId="77777777" w:rsidR="00533EEB" w:rsidRPr="00533EEB" w:rsidRDefault="00533EEB" w:rsidP="006957FF">
      <w:pPr>
        <w:jc w:val="both"/>
        <w:rPr>
          <w:lang w:val="de-DE"/>
        </w:rPr>
      </w:pPr>
    </w:p>
    <w:p w14:paraId="4A3B2DA8" w14:textId="77777777" w:rsidR="00533EEB" w:rsidRPr="00533EEB" w:rsidRDefault="00533EEB" w:rsidP="006957FF">
      <w:pPr>
        <w:jc w:val="both"/>
        <w:rPr>
          <w:lang w:val="de-DE"/>
        </w:rPr>
      </w:pPr>
    </w:p>
    <w:p w14:paraId="5B5375D3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b/>
          <w:lang w:val="de-DE"/>
        </w:rPr>
        <w:tab/>
        <w:t>Art. 3 -</w:t>
      </w:r>
      <w:r w:rsidRPr="00533EEB">
        <w:rPr>
          <w:lang w:val="de-DE"/>
        </w:rPr>
        <w:t xml:space="preserve"> Die für die Versicherungen, die Sozialen Angelegenheiten, die Volksgesundheit und die Justiz zuständigen Minister sind, jeweils für ihren Bereich, mit der Ausführung des vorliegenden Erlasses beauftragt.</w:t>
      </w:r>
    </w:p>
    <w:p w14:paraId="2BDBF9CB" w14:textId="77777777" w:rsidR="00533EEB" w:rsidRPr="00533EEB" w:rsidRDefault="00533EEB" w:rsidP="006957FF">
      <w:pPr>
        <w:jc w:val="both"/>
        <w:rPr>
          <w:lang w:val="de-DE"/>
        </w:rPr>
      </w:pPr>
    </w:p>
    <w:p w14:paraId="310AA7EE" w14:textId="77777777" w:rsidR="00533EEB" w:rsidRPr="00533EEB" w:rsidRDefault="00533EEB" w:rsidP="006957FF">
      <w:pPr>
        <w:jc w:val="both"/>
        <w:rPr>
          <w:lang w:val="de-DE"/>
        </w:rPr>
      </w:pPr>
    </w:p>
    <w:p w14:paraId="00D91E5F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lang w:val="de-DE"/>
        </w:rPr>
        <w:tab/>
        <w:t>Gegeben zu Brüssel, den 7. Juni 2023</w:t>
      </w:r>
    </w:p>
    <w:p w14:paraId="246ECBE0" w14:textId="77777777" w:rsidR="00533EEB" w:rsidRPr="00533EEB" w:rsidRDefault="00533EEB" w:rsidP="006957FF">
      <w:pPr>
        <w:jc w:val="both"/>
        <w:rPr>
          <w:lang w:val="de-DE"/>
        </w:rPr>
      </w:pPr>
    </w:p>
    <w:p w14:paraId="49900E0B" w14:textId="77777777" w:rsidR="00533EEB" w:rsidRPr="00533EEB" w:rsidRDefault="00533EEB" w:rsidP="006957FF">
      <w:pPr>
        <w:jc w:val="both"/>
        <w:rPr>
          <w:lang w:val="de-DE"/>
        </w:rPr>
      </w:pPr>
    </w:p>
    <w:p w14:paraId="36778DC8" w14:textId="77777777" w:rsidR="00533EEB" w:rsidRPr="00533EEB" w:rsidRDefault="00533EEB" w:rsidP="006957FF">
      <w:pPr>
        <w:jc w:val="center"/>
        <w:rPr>
          <w:lang w:val="de-DE"/>
        </w:rPr>
      </w:pPr>
      <w:r w:rsidRPr="00533EEB">
        <w:rPr>
          <w:lang w:val="de-DE"/>
        </w:rPr>
        <w:t>PHILIPPE</w:t>
      </w:r>
    </w:p>
    <w:p w14:paraId="23870248" w14:textId="77777777" w:rsidR="00533EEB" w:rsidRPr="00533EEB" w:rsidRDefault="00533EEB" w:rsidP="006957FF">
      <w:pPr>
        <w:jc w:val="center"/>
        <w:rPr>
          <w:lang w:val="de-DE"/>
        </w:rPr>
      </w:pPr>
    </w:p>
    <w:p w14:paraId="0D6F48B8" w14:textId="77777777" w:rsidR="00533EEB" w:rsidRPr="00533EEB" w:rsidRDefault="00533EEB" w:rsidP="006957FF">
      <w:pPr>
        <w:jc w:val="center"/>
        <w:rPr>
          <w:lang w:val="de-DE"/>
        </w:rPr>
      </w:pPr>
      <w:r w:rsidRPr="00533EEB">
        <w:rPr>
          <w:lang w:val="de-DE"/>
        </w:rPr>
        <w:t>Von Königs wegen:</w:t>
      </w:r>
    </w:p>
    <w:p w14:paraId="0145760B" w14:textId="77777777" w:rsidR="00533EEB" w:rsidRPr="00533EEB" w:rsidRDefault="00533EEB" w:rsidP="006957FF">
      <w:pPr>
        <w:jc w:val="center"/>
        <w:rPr>
          <w:lang w:val="de-DE"/>
        </w:rPr>
      </w:pPr>
    </w:p>
    <w:p w14:paraId="60CE2423" w14:textId="77777777" w:rsidR="00533EEB" w:rsidRPr="00533EEB" w:rsidRDefault="00533EEB" w:rsidP="006957FF">
      <w:pPr>
        <w:jc w:val="center"/>
        <w:rPr>
          <w:lang w:val="de-DE"/>
        </w:rPr>
      </w:pPr>
      <w:r w:rsidRPr="00533EEB">
        <w:rPr>
          <w:lang w:val="de-DE"/>
        </w:rPr>
        <w:t>Der Minister der Wirtschaft</w:t>
      </w:r>
    </w:p>
    <w:p w14:paraId="5F4D4FFF" w14:textId="77777777" w:rsidR="00533EEB" w:rsidRPr="00533EEB" w:rsidRDefault="00533EEB" w:rsidP="006957FF">
      <w:pPr>
        <w:jc w:val="center"/>
        <w:rPr>
          <w:lang w:val="de-DE"/>
        </w:rPr>
      </w:pPr>
      <w:r w:rsidRPr="00533EEB">
        <w:rPr>
          <w:lang w:val="de-DE"/>
        </w:rPr>
        <w:t>P.-Y. DERMAGNE</w:t>
      </w:r>
    </w:p>
    <w:p w14:paraId="3402C38D" w14:textId="77777777" w:rsidR="00533EEB" w:rsidRPr="00533EEB" w:rsidRDefault="00533EEB" w:rsidP="006957FF">
      <w:pPr>
        <w:jc w:val="center"/>
        <w:rPr>
          <w:lang w:val="de-DE"/>
        </w:rPr>
      </w:pPr>
    </w:p>
    <w:p w14:paraId="6914D0DC" w14:textId="77777777" w:rsidR="00533EEB" w:rsidRPr="00533EEB" w:rsidRDefault="00533EEB" w:rsidP="006957FF">
      <w:pPr>
        <w:jc w:val="center"/>
        <w:rPr>
          <w:lang w:val="de-DE"/>
        </w:rPr>
      </w:pPr>
      <w:r w:rsidRPr="00533EEB">
        <w:rPr>
          <w:lang w:val="de-DE"/>
        </w:rPr>
        <w:t>Der Minister der Sozialen Angelegenheiten und der Volksgesundheit</w:t>
      </w:r>
    </w:p>
    <w:p w14:paraId="5E9D838D" w14:textId="77777777" w:rsidR="00533EEB" w:rsidRPr="00533EEB" w:rsidRDefault="00533EEB" w:rsidP="006957FF">
      <w:pPr>
        <w:jc w:val="center"/>
        <w:rPr>
          <w:lang w:val="de-DE"/>
        </w:rPr>
      </w:pPr>
      <w:r w:rsidRPr="00533EEB">
        <w:rPr>
          <w:lang w:val="de-DE"/>
        </w:rPr>
        <w:t>F. VANDENBROUCKE</w:t>
      </w:r>
    </w:p>
    <w:p w14:paraId="5BCCAD2F" w14:textId="77777777" w:rsidR="00533EEB" w:rsidRPr="00533EEB" w:rsidRDefault="00533EEB" w:rsidP="006957FF">
      <w:pPr>
        <w:jc w:val="center"/>
        <w:rPr>
          <w:lang w:val="de-DE"/>
        </w:rPr>
      </w:pPr>
    </w:p>
    <w:p w14:paraId="561CD2AB" w14:textId="77777777" w:rsidR="00533EEB" w:rsidRPr="00533EEB" w:rsidRDefault="00533EEB" w:rsidP="006957FF">
      <w:pPr>
        <w:jc w:val="center"/>
        <w:rPr>
          <w:lang w:val="de-DE"/>
        </w:rPr>
      </w:pPr>
      <w:r w:rsidRPr="00533EEB">
        <w:rPr>
          <w:lang w:val="de-DE"/>
        </w:rPr>
        <w:t>Der Minister der Justiz</w:t>
      </w:r>
    </w:p>
    <w:p w14:paraId="2ACAC7DC" w14:textId="77777777" w:rsidR="00533EEB" w:rsidRPr="00533EEB" w:rsidRDefault="00533EEB" w:rsidP="006957FF">
      <w:pPr>
        <w:jc w:val="center"/>
        <w:rPr>
          <w:lang w:val="de-DE"/>
        </w:rPr>
      </w:pPr>
      <w:r w:rsidRPr="00533EEB">
        <w:rPr>
          <w:lang w:val="de-DE"/>
        </w:rPr>
        <w:t>V. VAN QUICKENBORNE</w:t>
      </w:r>
    </w:p>
    <w:p w14:paraId="4061FF50" w14:textId="77777777" w:rsidR="00533EEB" w:rsidRPr="00533EEB" w:rsidRDefault="00533EEB" w:rsidP="006957FF">
      <w:pPr>
        <w:jc w:val="center"/>
        <w:rPr>
          <w:lang w:val="de-DE"/>
        </w:rPr>
      </w:pPr>
    </w:p>
    <w:p w14:paraId="0A8C8957" w14:textId="77777777" w:rsidR="00533EEB" w:rsidRPr="00533EEB" w:rsidRDefault="00533EEB" w:rsidP="006957FF">
      <w:pPr>
        <w:jc w:val="center"/>
        <w:rPr>
          <w:lang w:val="de-DE"/>
        </w:rPr>
      </w:pPr>
      <w:r w:rsidRPr="00533EEB">
        <w:rPr>
          <w:lang w:val="de-DE"/>
        </w:rPr>
        <w:t>Die Staatssekretärin für Verbraucherschutz</w:t>
      </w:r>
    </w:p>
    <w:p w14:paraId="4C7D89F3" w14:textId="77777777" w:rsidR="00533EEB" w:rsidRPr="00533EEB" w:rsidRDefault="00533EEB" w:rsidP="006957FF">
      <w:pPr>
        <w:jc w:val="center"/>
        <w:rPr>
          <w:lang w:val="de-DE"/>
        </w:rPr>
      </w:pPr>
      <w:r w:rsidRPr="00533EEB">
        <w:rPr>
          <w:lang w:val="de-DE"/>
        </w:rPr>
        <w:t>A. BERTRAND</w:t>
      </w:r>
    </w:p>
    <w:p w14:paraId="072203BA" w14:textId="77777777" w:rsidR="00533EEB" w:rsidRPr="00533EEB" w:rsidRDefault="00533EEB" w:rsidP="006957FF">
      <w:pPr>
        <w:jc w:val="both"/>
        <w:rPr>
          <w:lang w:val="de-DE"/>
        </w:rPr>
      </w:pPr>
    </w:p>
    <w:p w14:paraId="3EF59EE2" w14:textId="77777777" w:rsidR="00533EEB" w:rsidRPr="00533EEB" w:rsidRDefault="00533EEB" w:rsidP="006957FF">
      <w:pPr>
        <w:jc w:val="both"/>
        <w:rPr>
          <w:lang w:val="de-DE"/>
        </w:rPr>
      </w:pPr>
    </w:p>
    <w:p w14:paraId="6FDD134C" w14:textId="77777777" w:rsidR="00533EEB" w:rsidRPr="00533EEB" w:rsidRDefault="00533EEB" w:rsidP="006957FF">
      <w:pPr>
        <w:jc w:val="center"/>
        <w:rPr>
          <w:lang w:val="de-DE"/>
        </w:rPr>
      </w:pPr>
      <w:r w:rsidRPr="00533EEB">
        <w:rPr>
          <w:lang w:val="de-DE"/>
        </w:rPr>
        <w:t>_________</w:t>
      </w:r>
    </w:p>
    <w:p w14:paraId="0F3A4A97" w14:textId="77777777" w:rsidR="00533EEB" w:rsidRPr="00533EEB" w:rsidRDefault="00533EEB" w:rsidP="006957FF">
      <w:pPr>
        <w:jc w:val="center"/>
        <w:rPr>
          <w:lang w:val="de-DE"/>
        </w:rPr>
      </w:pPr>
    </w:p>
    <w:p w14:paraId="4A4C3F9F" w14:textId="77777777" w:rsidR="00533EEB" w:rsidRPr="00533EEB" w:rsidRDefault="00533EEB" w:rsidP="006957FF">
      <w:pPr>
        <w:jc w:val="center"/>
        <w:rPr>
          <w:lang w:val="de-DE"/>
        </w:rPr>
      </w:pPr>
    </w:p>
    <w:p w14:paraId="6A319C83" w14:textId="77777777" w:rsidR="00533EEB" w:rsidRPr="00533EEB" w:rsidRDefault="00533EEB" w:rsidP="006957FF">
      <w:pPr>
        <w:jc w:val="both"/>
        <w:rPr>
          <w:lang w:val="de-DE"/>
        </w:rPr>
        <w:sectPr w:rsidR="00533EEB" w:rsidRPr="00533EEB" w:rsidSect="00533EEB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228C68" w14:textId="323CAABF" w:rsidR="00533EEB" w:rsidRPr="00533EEB" w:rsidRDefault="00533EEB" w:rsidP="00533EEB">
      <w:pPr>
        <w:jc w:val="center"/>
        <w:rPr>
          <w:lang w:val="de-DE"/>
        </w:rPr>
      </w:pPr>
      <w:r w:rsidRPr="00533EEB">
        <w:rPr>
          <w:lang w:val="de-DE"/>
        </w:rPr>
        <w:lastRenderedPageBreak/>
        <w:t>Anlage</w:t>
      </w:r>
    </w:p>
    <w:p w14:paraId="15712EDA" w14:textId="77777777" w:rsidR="00533EEB" w:rsidRDefault="00533EEB" w:rsidP="006957FF">
      <w:pPr>
        <w:jc w:val="both"/>
        <w:rPr>
          <w:lang w:val="de-DE"/>
        </w:rPr>
      </w:pPr>
    </w:p>
    <w:p w14:paraId="31FDD4B8" w14:textId="77777777" w:rsidR="00533EEB" w:rsidRPr="00533EEB" w:rsidRDefault="00533EEB" w:rsidP="006957FF">
      <w:pPr>
        <w:jc w:val="both"/>
        <w:rPr>
          <w:lang w:val="de-DE"/>
        </w:rPr>
      </w:pPr>
    </w:p>
    <w:p w14:paraId="321F1619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lang w:val="de-DE"/>
        </w:rPr>
        <w:t>Anlage 1 zum Königlichen Erlass vom 26. Mai 2019 zur Festlegung des in Artikel 61/3 des Gesetzes vom 4. April 2014 über die Versicherungen erwähnten Referenzrahmens für das Recht auf Vergessenwerden im Rahmen bestimmter Personenversicherungen</w:t>
      </w:r>
    </w:p>
    <w:p w14:paraId="6D9F79B2" w14:textId="77777777" w:rsidR="00533EEB" w:rsidRPr="00533EEB" w:rsidRDefault="00533EEB" w:rsidP="006957FF">
      <w:pPr>
        <w:jc w:val="both"/>
        <w:rPr>
          <w:lang w:val="de-DE"/>
        </w:rPr>
      </w:pPr>
    </w:p>
    <w:p w14:paraId="1A0C9FD9" w14:textId="77777777" w:rsidR="00533EEB" w:rsidRPr="00533EEB" w:rsidRDefault="00533EEB" w:rsidP="006957FF">
      <w:pPr>
        <w:jc w:val="both"/>
        <w:rPr>
          <w:lang w:val="de-DE"/>
        </w:rPr>
      </w:pPr>
    </w:p>
    <w:p w14:paraId="715CF6CF" w14:textId="77777777" w:rsidR="00533EEB" w:rsidRPr="00533EEB" w:rsidRDefault="00533EEB" w:rsidP="006957FF">
      <w:pPr>
        <w:jc w:val="both"/>
        <w:rPr>
          <w:lang w:val="de-DE"/>
        </w:rPr>
      </w:pPr>
      <w:bookmarkStart w:id="1" w:name="_Hlk179290119"/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3"/>
      </w:tblGrid>
      <w:tr w:rsidR="00533EEB" w:rsidRPr="00533EEB" w14:paraId="2FCF5F9D" w14:textId="77777777" w:rsidTr="003E7907">
        <w:trPr>
          <w:cantSplit/>
          <w:tblHeader/>
        </w:trPr>
        <w:tc>
          <w:tcPr>
            <w:tcW w:w="9062" w:type="dxa"/>
            <w:gridSpan w:val="4"/>
          </w:tcPr>
          <w:p w14:paraId="16755F22" w14:textId="77777777" w:rsidR="00533EEB" w:rsidRPr="00533EEB" w:rsidRDefault="00533EEB" w:rsidP="00FB750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b/>
                <w:sz w:val="23"/>
                <w:lang w:val="de-DE"/>
              </w:rPr>
              <w:t>Anlage 1: Referenzrahmen für bestimmte Krebsarten, für die die Frist angepasst wird (Art. 61/3 § 1)</w:t>
            </w:r>
          </w:p>
        </w:tc>
      </w:tr>
      <w:tr w:rsidR="00533EEB" w:rsidRPr="00533EEB" w14:paraId="1FBE2A51" w14:textId="77777777" w:rsidTr="002D11A9">
        <w:trPr>
          <w:cantSplit/>
          <w:tblHeader/>
        </w:trPr>
        <w:tc>
          <w:tcPr>
            <w:tcW w:w="2263" w:type="dxa"/>
          </w:tcPr>
          <w:p w14:paraId="4193CFB8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  <w:tc>
          <w:tcPr>
            <w:tcW w:w="2268" w:type="dxa"/>
          </w:tcPr>
          <w:p w14:paraId="5E949CD5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  <w:tc>
          <w:tcPr>
            <w:tcW w:w="2268" w:type="dxa"/>
          </w:tcPr>
          <w:p w14:paraId="0651932A" w14:textId="77777777" w:rsidR="00533EEB" w:rsidRPr="00533EEB" w:rsidRDefault="00533EEB" w:rsidP="00FB750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de-DE"/>
              </w:rPr>
            </w:pPr>
          </w:p>
        </w:tc>
        <w:tc>
          <w:tcPr>
            <w:tcW w:w="2263" w:type="dxa"/>
          </w:tcPr>
          <w:p w14:paraId="0287686F" w14:textId="77777777" w:rsidR="00533EEB" w:rsidRPr="00533EEB" w:rsidRDefault="00533EEB" w:rsidP="00FB750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</w:tr>
      <w:tr w:rsidR="00533EEB" w:rsidRPr="00533EEB" w14:paraId="5BCFEB6A" w14:textId="77777777" w:rsidTr="002D11A9">
        <w:trPr>
          <w:cantSplit/>
          <w:tblHeader/>
        </w:trPr>
        <w:tc>
          <w:tcPr>
            <w:tcW w:w="2263" w:type="dxa"/>
          </w:tcPr>
          <w:p w14:paraId="5D6A1D8C" w14:textId="77777777" w:rsidR="00533EEB" w:rsidRPr="00533EEB" w:rsidRDefault="00533EEB" w:rsidP="00FB750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de-DE"/>
              </w:rPr>
            </w:pPr>
            <w:bookmarkStart w:id="2" w:name="_Hlk167786467"/>
            <w:r w:rsidRPr="00533EEB">
              <w:rPr>
                <w:rFonts w:ascii="Times New Roman" w:hAnsi="Times New Roman"/>
                <w:b/>
                <w:sz w:val="23"/>
                <w:lang w:val="de-DE"/>
              </w:rPr>
              <w:t>Art der Pathologie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FC7693" w14:textId="77777777" w:rsidR="00533EEB" w:rsidRPr="00533EEB" w:rsidRDefault="00533EEB" w:rsidP="00FB750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b/>
                <w:sz w:val="23"/>
                <w:lang w:val="de-DE"/>
              </w:rPr>
              <w:t>Histologische Typen und Referenzstadien - prätherapeutische Stadien</w:t>
            </w:r>
          </w:p>
        </w:tc>
        <w:tc>
          <w:tcPr>
            <w:tcW w:w="2268" w:type="dxa"/>
          </w:tcPr>
          <w:p w14:paraId="525DC2C3" w14:textId="77777777" w:rsidR="00533EEB" w:rsidRPr="00533EEB" w:rsidRDefault="00533EEB" w:rsidP="00FB750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b/>
                <w:sz w:val="23"/>
                <w:lang w:val="de-DE"/>
              </w:rPr>
              <w:t>Wartezeit nach Abschluss der laufenden Behandlung der Krebserkrankung und ohne Rückfall</w:t>
            </w:r>
          </w:p>
        </w:tc>
        <w:tc>
          <w:tcPr>
            <w:tcW w:w="2263" w:type="dxa"/>
          </w:tcPr>
          <w:p w14:paraId="7205991D" w14:textId="77777777" w:rsidR="00533EEB" w:rsidRPr="00533EEB" w:rsidRDefault="00533EEB" w:rsidP="00FB750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b/>
                <w:sz w:val="23"/>
                <w:lang w:val="de-DE"/>
              </w:rPr>
              <w:t>Wartezeit nach Abschluss der laufenden Behandlung der Krebserkrankung und ohne Rückfall, wenn die Person zu dem Zeitpunkt, an dem die Krebserkrankung diagnostiziert wurde, jünger als 21 Jahre war</w:t>
            </w:r>
          </w:p>
        </w:tc>
      </w:tr>
      <w:bookmarkEnd w:id="2"/>
      <w:tr w:rsidR="00533EEB" w:rsidRPr="00533EEB" w14:paraId="3EBAE3F1" w14:textId="77777777" w:rsidTr="002D11A9">
        <w:trPr>
          <w:cantSplit/>
          <w:trHeight w:val="2645"/>
        </w:trPr>
        <w:tc>
          <w:tcPr>
            <w:tcW w:w="2263" w:type="dxa"/>
          </w:tcPr>
          <w:p w14:paraId="52872157" w14:textId="77777777" w:rsidR="00533EEB" w:rsidRPr="00533EEB" w:rsidRDefault="00533EEB" w:rsidP="00A75165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2516ECA9" w14:textId="77777777" w:rsidR="00533EEB" w:rsidRPr="00533EEB" w:rsidRDefault="00533EEB" w:rsidP="00A75165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Hodenkrebs</w:t>
            </w:r>
          </w:p>
        </w:tc>
        <w:tc>
          <w:tcPr>
            <w:tcW w:w="2268" w:type="dxa"/>
          </w:tcPr>
          <w:p w14:paraId="7B81D201" w14:textId="77777777" w:rsidR="00533EEB" w:rsidRPr="00533EEB" w:rsidRDefault="00533EEB" w:rsidP="00A75165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3E625C8F" w14:textId="77777777" w:rsidR="00533EEB" w:rsidRPr="00533EEB" w:rsidRDefault="00533EEB" w:rsidP="00A75165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Reine Seminome,</w:t>
            </w:r>
          </w:p>
          <w:p w14:paraId="5E85BEE0" w14:textId="77777777" w:rsidR="00533EEB" w:rsidRPr="00533EEB" w:rsidRDefault="00533EEB" w:rsidP="00FB7508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Stadium I</w:t>
            </w:r>
          </w:p>
          <w:p w14:paraId="4BF88AEA" w14:textId="77777777" w:rsidR="00533EEB" w:rsidRPr="00533EEB" w:rsidRDefault="00533EEB" w:rsidP="00A75165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Reine Seminome,</w:t>
            </w:r>
          </w:p>
          <w:p w14:paraId="18F6104C" w14:textId="77777777" w:rsidR="00533EEB" w:rsidRPr="00533EEB" w:rsidRDefault="00533EEB" w:rsidP="00A75165">
            <w:pPr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Stadium II</w:t>
            </w:r>
          </w:p>
          <w:p w14:paraId="32DBEC8E" w14:textId="77777777" w:rsidR="00533EEB" w:rsidRPr="00533EEB" w:rsidRDefault="00533EEB" w:rsidP="00A75165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3A0EDF39" w14:textId="77777777" w:rsidR="00533EEB" w:rsidRPr="00533EEB" w:rsidRDefault="00533EEB" w:rsidP="00FB7508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Nichtseminome oder Mischtumore,</w:t>
            </w:r>
          </w:p>
          <w:p w14:paraId="67966D2A" w14:textId="77777777" w:rsidR="00533EEB" w:rsidRPr="00533EEB" w:rsidRDefault="00533EEB" w:rsidP="00FB7508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Stadium I und II</w:t>
            </w:r>
          </w:p>
          <w:p w14:paraId="10E6CDD6" w14:textId="77777777" w:rsidR="00533EEB" w:rsidRPr="00533EEB" w:rsidRDefault="00533EEB" w:rsidP="00FB7508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  <w:tc>
          <w:tcPr>
            <w:tcW w:w="2268" w:type="dxa"/>
          </w:tcPr>
          <w:p w14:paraId="01733B99" w14:textId="77777777" w:rsidR="00533EEB" w:rsidRPr="00533EEB" w:rsidRDefault="00533EEB" w:rsidP="00A7516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3CC2208B" w14:textId="77777777" w:rsidR="00533EEB" w:rsidRPr="00533EEB" w:rsidRDefault="00533EEB" w:rsidP="00A75165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3 Jahre</w:t>
            </w:r>
          </w:p>
          <w:p w14:paraId="7E6744AB" w14:textId="77777777" w:rsidR="00533EEB" w:rsidRPr="00533EEB" w:rsidRDefault="00533EEB" w:rsidP="00A7516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5AC2470F" w14:textId="77777777" w:rsidR="00533EEB" w:rsidRPr="00533EEB" w:rsidRDefault="00533EEB" w:rsidP="00A75165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6 Jahre</w:t>
            </w:r>
          </w:p>
          <w:p w14:paraId="6A2CFCDD" w14:textId="77777777" w:rsidR="00533EEB" w:rsidRPr="00533EEB" w:rsidRDefault="00533EEB" w:rsidP="00A75165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5AED9222" w14:textId="77777777" w:rsidR="00533EEB" w:rsidRPr="00533EEB" w:rsidRDefault="00533EEB" w:rsidP="00A7516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670C191C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6 Jahre</w:t>
            </w:r>
          </w:p>
        </w:tc>
        <w:tc>
          <w:tcPr>
            <w:tcW w:w="2263" w:type="dxa"/>
          </w:tcPr>
          <w:p w14:paraId="562C438D" w14:textId="77777777" w:rsidR="00533EEB" w:rsidRPr="00533EEB" w:rsidRDefault="00533EEB" w:rsidP="00A7516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7B286624" w14:textId="77777777" w:rsidR="00533EEB" w:rsidRPr="00533EEB" w:rsidRDefault="00533EEB" w:rsidP="00A75165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3 Jahre</w:t>
            </w:r>
          </w:p>
          <w:p w14:paraId="57E35ED3" w14:textId="77777777" w:rsidR="00533EEB" w:rsidRPr="00533EEB" w:rsidRDefault="00533EEB" w:rsidP="00A7516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48B9A649" w14:textId="77777777" w:rsidR="00533EEB" w:rsidRPr="00533EEB" w:rsidRDefault="00533EEB" w:rsidP="00A75165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5 Jahre</w:t>
            </w:r>
          </w:p>
          <w:p w14:paraId="152D0C00" w14:textId="77777777" w:rsidR="00533EEB" w:rsidRPr="00533EEB" w:rsidRDefault="00533EEB" w:rsidP="00A75165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7C32086E" w14:textId="77777777" w:rsidR="00533EEB" w:rsidRPr="00533EEB" w:rsidRDefault="00533EEB" w:rsidP="00A7516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267A5927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5 Jahre</w:t>
            </w:r>
          </w:p>
        </w:tc>
      </w:tr>
      <w:tr w:rsidR="00533EEB" w:rsidRPr="00533EEB" w14:paraId="5968825F" w14:textId="77777777" w:rsidTr="002D11A9">
        <w:trPr>
          <w:cantSplit/>
        </w:trPr>
        <w:tc>
          <w:tcPr>
            <w:tcW w:w="2263" w:type="dxa"/>
          </w:tcPr>
          <w:p w14:paraId="22C765ED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569DF29D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Brustkrebs</w:t>
            </w:r>
          </w:p>
        </w:tc>
        <w:tc>
          <w:tcPr>
            <w:tcW w:w="2268" w:type="dxa"/>
          </w:tcPr>
          <w:p w14:paraId="04714FC0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0A0D1CA5" w14:textId="77777777" w:rsidR="00533EEB" w:rsidRPr="00533EEB" w:rsidRDefault="00533EEB" w:rsidP="00CE31D5">
            <w:pPr>
              <w:spacing w:before="80"/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 xml:space="preserve">Tis N0 M0 </w:t>
            </w:r>
          </w:p>
          <w:p w14:paraId="341099A5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T1-1mi N0 M0</w:t>
            </w:r>
          </w:p>
          <w:p w14:paraId="7BE30F27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T0-1 N1 mi M0</w:t>
            </w:r>
          </w:p>
          <w:p w14:paraId="50C93E8F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T0 N1 M0</w:t>
            </w:r>
          </w:p>
          <w:p w14:paraId="5371C34C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T1-1mi N1 M0</w:t>
            </w:r>
          </w:p>
          <w:p w14:paraId="4E5E2229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T2 N0 M0</w:t>
            </w:r>
          </w:p>
          <w:p w14:paraId="0C5159C9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T2 N1 M0</w:t>
            </w:r>
          </w:p>
          <w:p w14:paraId="27EE3429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T3 N0 M0</w:t>
            </w:r>
          </w:p>
          <w:p w14:paraId="7853CEF3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  <w:tc>
          <w:tcPr>
            <w:tcW w:w="2268" w:type="dxa"/>
          </w:tcPr>
          <w:p w14:paraId="42373A1C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5BBD2B7F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0 Jahr</w:t>
            </w:r>
          </w:p>
          <w:p w14:paraId="033A937D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1 Jahr</w:t>
            </w:r>
          </w:p>
          <w:p w14:paraId="7938C88C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1 Jahr</w:t>
            </w:r>
          </w:p>
          <w:p w14:paraId="12728E2A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1 Jahr</w:t>
            </w:r>
          </w:p>
          <w:p w14:paraId="4FC489A5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1 Jahr</w:t>
            </w:r>
          </w:p>
          <w:p w14:paraId="41E1551C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8 Jahre</w:t>
            </w:r>
          </w:p>
          <w:p w14:paraId="7C8AE8A9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8 Jahre</w:t>
            </w:r>
          </w:p>
          <w:p w14:paraId="780CA542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8 Jahre</w:t>
            </w:r>
          </w:p>
          <w:p w14:paraId="182CDD93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  <w:tc>
          <w:tcPr>
            <w:tcW w:w="2263" w:type="dxa"/>
          </w:tcPr>
          <w:p w14:paraId="0C3D08FA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1C8E179E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0 Jahr</w:t>
            </w:r>
          </w:p>
          <w:p w14:paraId="122CD61A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1 Jahr</w:t>
            </w:r>
          </w:p>
          <w:p w14:paraId="5D1E64C8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1 Jahr</w:t>
            </w:r>
          </w:p>
          <w:p w14:paraId="720D357A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1 Jahr</w:t>
            </w:r>
          </w:p>
          <w:p w14:paraId="7FC98DF1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1 Jahr</w:t>
            </w:r>
          </w:p>
          <w:p w14:paraId="725743DE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5 Jahre</w:t>
            </w:r>
          </w:p>
          <w:p w14:paraId="18D39C74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5 Jahre</w:t>
            </w:r>
          </w:p>
          <w:p w14:paraId="0925CAE9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5 Jahre</w:t>
            </w:r>
          </w:p>
          <w:p w14:paraId="09E60C0A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</w:tr>
      <w:tr w:rsidR="00533EEB" w:rsidRPr="00533EEB" w14:paraId="72F3D072" w14:textId="77777777" w:rsidTr="002D11A9">
        <w:trPr>
          <w:cantSplit/>
        </w:trPr>
        <w:tc>
          <w:tcPr>
            <w:tcW w:w="2263" w:type="dxa"/>
          </w:tcPr>
          <w:p w14:paraId="195E4CD5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51B64472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Hautkrebs</w:t>
            </w:r>
          </w:p>
        </w:tc>
        <w:tc>
          <w:tcPr>
            <w:tcW w:w="2268" w:type="dxa"/>
          </w:tcPr>
          <w:p w14:paraId="586CA4AD" w14:textId="77777777" w:rsidR="00533EEB" w:rsidRPr="00533EEB" w:rsidRDefault="00533EEB" w:rsidP="006957F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5AF663D4" w14:textId="77777777" w:rsidR="00533EEB" w:rsidRPr="00533EEB" w:rsidRDefault="00533EEB" w:rsidP="00CE31D5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 xml:space="preserve">Melanom </w:t>
            </w:r>
            <w:r w:rsidRPr="00533EEB">
              <w:rPr>
                <w:rFonts w:ascii="Times New Roman" w:hAnsi="Times New Roman"/>
                <w:i/>
                <w:iCs/>
                <w:sz w:val="23"/>
                <w:lang w:val="de-DE"/>
              </w:rPr>
              <w:t>in situ</w:t>
            </w:r>
            <w:r w:rsidRPr="00533EEB">
              <w:rPr>
                <w:rFonts w:ascii="Times New Roman" w:hAnsi="Times New Roman"/>
                <w:sz w:val="23"/>
                <w:lang w:val="de-DE"/>
              </w:rPr>
              <w:t xml:space="preserve">, nicht mikroinvasiv oder Clark-Level I </w:t>
            </w:r>
          </w:p>
          <w:p w14:paraId="396093D5" w14:textId="77777777" w:rsidR="00533EEB" w:rsidRPr="00533EEB" w:rsidRDefault="00533EEB" w:rsidP="00CE31D5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 xml:space="preserve">- Komplette Exzision </w:t>
            </w:r>
          </w:p>
          <w:p w14:paraId="491427B9" w14:textId="77777777" w:rsidR="00533EEB" w:rsidRPr="00533EEB" w:rsidRDefault="00533EEB" w:rsidP="00CE31D5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 Keine dysplasischen Naevi</w:t>
            </w:r>
          </w:p>
          <w:p w14:paraId="2544B9C7" w14:textId="77777777" w:rsidR="00533EEB" w:rsidRPr="00533EEB" w:rsidRDefault="00533EEB" w:rsidP="00CE31D5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  <w:tc>
          <w:tcPr>
            <w:tcW w:w="2268" w:type="dxa"/>
          </w:tcPr>
          <w:p w14:paraId="5897CB67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52630C87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1 Jahr</w:t>
            </w:r>
          </w:p>
        </w:tc>
        <w:tc>
          <w:tcPr>
            <w:tcW w:w="2263" w:type="dxa"/>
          </w:tcPr>
          <w:p w14:paraId="3CE47647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239A5677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1 Jahr</w:t>
            </w:r>
          </w:p>
        </w:tc>
      </w:tr>
      <w:tr w:rsidR="00533EEB" w:rsidRPr="00533EEB" w14:paraId="66C9861C" w14:textId="77777777" w:rsidTr="002D11A9">
        <w:trPr>
          <w:cantSplit/>
        </w:trPr>
        <w:tc>
          <w:tcPr>
            <w:tcW w:w="2263" w:type="dxa"/>
          </w:tcPr>
          <w:p w14:paraId="0E908E9E" w14:textId="77777777" w:rsidR="00533EEB" w:rsidRPr="00533EEB" w:rsidRDefault="00533EEB" w:rsidP="00CE31D5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5ABBF7C6" w14:textId="77777777" w:rsidR="00533EEB" w:rsidRPr="00533EEB" w:rsidRDefault="00533EEB" w:rsidP="00CE31D5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Gebärmutterhalskrebs</w:t>
            </w:r>
          </w:p>
        </w:tc>
        <w:tc>
          <w:tcPr>
            <w:tcW w:w="2268" w:type="dxa"/>
          </w:tcPr>
          <w:p w14:paraId="781D3F7E" w14:textId="77777777" w:rsidR="00533EEB" w:rsidRPr="00533EEB" w:rsidRDefault="00533EEB" w:rsidP="00CE31D5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1519B971" w14:textId="77777777" w:rsidR="00533EEB" w:rsidRPr="00533EEB" w:rsidRDefault="00533EEB" w:rsidP="00CE31D5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 xml:space="preserve">Klasse CIN III (oder HSIL) oder </w:t>
            </w:r>
            <w:r w:rsidRPr="00533EEB">
              <w:rPr>
                <w:rFonts w:ascii="Times New Roman" w:hAnsi="Times New Roman"/>
                <w:b/>
                <w:i/>
                <w:sz w:val="23"/>
                <w:lang w:val="de-DE"/>
              </w:rPr>
              <w:t>in situ</w:t>
            </w:r>
            <w:r w:rsidRPr="00533EEB">
              <w:rPr>
                <w:rFonts w:ascii="Times New Roman" w:hAnsi="Times New Roman"/>
                <w:sz w:val="23"/>
                <w:lang w:val="de-DE"/>
              </w:rPr>
              <w:t>, nicht mikroinvasiv</w:t>
            </w:r>
          </w:p>
          <w:p w14:paraId="16EBD07C" w14:textId="77777777" w:rsidR="00533EEB" w:rsidRPr="00533EEB" w:rsidRDefault="00533EEB" w:rsidP="00CE31D5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Anwendung einer zum Zeitpunkt der Behandlung angepassten Referenzbehandlung und Überwachung gemäß HAS-Empfehlungen</w:t>
            </w:r>
          </w:p>
          <w:p w14:paraId="6FA9F3DE" w14:textId="77777777" w:rsidR="00533EEB" w:rsidRPr="00533EEB" w:rsidRDefault="00533EEB" w:rsidP="00CE31D5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  <w:tc>
          <w:tcPr>
            <w:tcW w:w="2268" w:type="dxa"/>
          </w:tcPr>
          <w:p w14:paraId="65FD8F25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4B697640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1 Jahr</w:t>
            </w:r>
          </w:p>
        </w:tc>
        <w:tc>
          <w:tcPr>
            <w:tcW w:w="2263" w:type="dxa"/>
          </w:tcPr>
          <w:p w14:paraId="27EA6019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657579AB" w14:textId="77777777" w:rsidR="00533EEB" w:rsidRPr="00533EEB" w:rsidRDefault="00533EEB" w:rsidP="00CE31D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1 Jahr</w:t>
            </w:r>
          </w:p>
        </w:tc>
      </w:tr>
      <w:tr w:rsidR="00533EEB" w:rsidRPr="00533EEB" w14:paraId="5A3FF268" w14:textId="77777777" w:rsidTr="002D11A9">
        <w:trPr>
          <w:cantSplit/>
          <w:trHeight w:val="3174"/>
        </w:trPr>
        <w:tc>
          <w:tcPr>
            <w:tcW w:w="2263" w:type="dxa"/>
          </w:tcPr>
          <w:p w14:paraId="5C2ADD13" w14:textId="77777777" w:rsidR="00533EEB" w:rsidRPr="00533EEB" w:rsidRDefault="00533EEB" w:rsidP="009C09BB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73701A3C" w14:textId="77777777" w:rsidR="00533EEB" w:rsidRPr="00533EEB" w:rsidRDefault="00533EEB" w:rsidP="009C09BB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Nierenkrebs</w:t>
            </w:r>
          </w:p>
        </w:tc>
        <w:tc>
          <w:tcPr>
            <w:tcW w:w="2268" w:type="dxa"/>
          </w:tcPr>
          <w:p w14:paraId="2EAB6510" w14:textId="77777777" w:rsidR="00533EEB" w:rsidRPr="00533EEB" w:rsidRDefault="00533EEB" w:rsidP="009C09BB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0050D4A2" w14:textId="77777777" w:rsidR="00533EEB" w:rsidRPr="00533EEB" w:rsidRDefault="00533EEB" w:rsidP="009C09BB">
            <w:pPr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 Klarzelliges Nierenzellkarzinom, nach dem Alter von 50 Jahren diagnostiziert, Klasse T1N0M0, Fuhrman-Grad 1 und 2</w:t>
            </w:r>
          </w:p>
          <w:p w14:paraId="37F9F8B5" w14:textId="77777777" w:rsidR="00533EEB" w:rsidRPr="00533EEB" w:rsidRDefault="00533EEB" w:rsidP="009C09BB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0BC717E4" w14:textId="77777777" w:rsidR="00533EEB" w:rsidRPr="00533EEB" w:rsidRDefault="00533EEB" w:rsidP="00E7283E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 Chromophobes Nierenzellkarzinom, Klasse T1N0M0</w:t>
            </w:r>
          </w:p>
          <w:p w14:paraId="6FEC4969" w14:textId="77777777" w:rsidR="00533EEB" w:rsidRPr="00533EEB" w:rsidRDefault="00533EEB" w:rsidP="00E7283E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  <w:tc>
          <w:tcPr>
            <w:tcW w:w="2268" w:type="dxa"/>
          </w:tcPr>
          <w:p w14:paraId="56C93B34" w14:textId="77777777" w:rsidR="00533EEB" w:rsidRPr="00533EEB" w:rsidRDefault="00533EEB" w:rsidP="009C09B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00F10FB0" w14:textId="77777777" w:rsidR="00533EEB" w:rsidRPr="00533EEB" w:rsidRDefault="00533EEB" w:rsidP="009C09BB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8 Jahre</w:t>
            </w:r>
          </w:p>
          <w:p w14:paraId="3AF38597" w14:textId="77777777" w:rsidR="00533EEB" w:rsidRPr="00533EEB" w:rsidRDefault="00533EEB" w:rsidP="009C09BB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2B58C39B" w14:textId="77777777" w:rsidR="00533EEB" w:rsidRPr="00533EEB" w:rsidRDefault="00533EEB" w:rsidP="009C09BB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0754D6C5" w14:textId="77777777" w:rsidR="00533EEB" w:rsidRPr="00533EEB" w:rsidRDefault="00533EEB" w:rsidP="009C09BB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5CC005A7" w14:textId="77777777" w:rsidR="00533EEB" w:rsidRPr="00533EEB" w:rsidRDefault="00533EEB" w:rsidP="009C09BB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4DA5B973" w14:textId="77777777" w:rsidR="00533EEB" w:rsidRPr="00533EEB" w:rsidRDefault="00533EEB" w:rsidP="009C09BB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69C84C30" w14:textId="77777777" w:rsidR="00533EEB" w:rsidRPr="00533EEB" w:rsidRDefault="00533EEB" w:rsidP="009C09B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441FBE5B" w14:textId="77777777" w:rsidR="00533EEB" w:rsidRPr="00533EEB" w:rsidRDefault="00533EEB" w:rsidP="009C09B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10D678A3" w14:textId="77777777" w:rsidR="00533EEB" w:rsidRPr="00533EEB" w:rsidRDefault="00533EEB" w:rsidP="009C09B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5 Jahre</w:t>
            </w:r>
          </w:p>
        </w:tc>
        <w:tc>
          <w:tcPr>
            <w:tcW w:w="2263" w:type="dxa"/>
          </w:tcPr>
          <w:p w14:paraId="0EDEB4F3" w14:textId="77777777" w:rsidR="00533EEB" w:rsidRPr="00533EEB" w:rsidRDefault="00533EEB" w:rsidP="009C09B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10D07671" w14:textId="77777777" w:rsidR="00533EEB" w:rsidRPr="00533EEB" w:rsidRDefault="00533EEB" w:rsidP="009C09BB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</w:t>
            </w:r>
          </w:p>
          <w:p w14:paraId="285C8E51" w14:textId="77777777" w:rsidR="00533EEB" w:rsidRPr="00533EEB" w:rsidRDefault="00533EEB" w:rsidP="009C09BB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01CC74EC" w14:textId="77777777" w:rsidR="00533EEB" w:rsidRPr="00533EEB" w:rsidRDefault="00533EEB" w:rsidP="009C09BB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1BAE3DC1" w14:textId="77777777" w:rsidR="00533EEB" w:rsidRPr="00533EEB" w:rsidRDefault="00533EEB" w:rsidP="009C09BB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0683DB8D" w14:textId="77777777" w:rsidR="00533EEB" w:rsidRPr="00533EEB" w:rsidRDefault="00533EEB" w:rsidP="009C09BB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0B8A70D0" w14:textId="77777777" w:rsidR="00533EEB" w:rsidRPr="00533EEB" w:rsidRDefault="00533EEB" w:rsidP="009C09BB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5916A511" w14:textId="77777777" w:rsidR="00533EEB" w:rsidRPr="00533EEB" w:rsidRDefault="00533EEB" w:rsidP="009C09B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54C75E48" w14:textId="77777777" w:rsidR="00533EEB" w:rsidRPr="00533EEB" w:rsidRDefault="00533EEB" w:rsidP="009C09B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7F78D994" w14:textId="77777777" w:rsidR="00533EEB" w:rsidRPr="00533EEB" w:rsidRDefault="00533EEB" w:rsidP="009C09B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5 Jahre</w:t>
            </w:r>
          </w:p>
        </w:tc>
      </w:tr>
      <w:tr w:rsidR="00533EEB" w:rsidRPr="00533EEB" w14:paraId="799CCF22" w14:textId="77777777" w:rsidTr="002D11A9">
        <w:trPr>
          <w:cantSplit/>
          <w:trHeight w:val="3967"/>
        </w:trPr>
        <w:tc>
          <w:tcPr>
            <w:tcW w:w="2263" w:type="dxa"/>
          </w:tcPr>
          <w:p w14:paraId="6243727F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508C4F7F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Kolorektales Karzinom</w:t>
            </w:r>
          </w:p>
          <w:p w14:paraId="31D2A16A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  <w:tc>
          <w:tcPr>
            <w:tcW w:w="2268" w:type="dxa"/>
          </w:tcPr>
          <w:p w14:paraId="78873705" w14:textId="77777777" w:rsidR="00533EEB" w:rsidRPr="00533EEB" w:rsidRDefault="00533EEB" w:rsidP="00866D96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7656C103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Stadium Tis (Stadium 0):</w:t>
            </w:r>
          </w:p>
          <w:p w14:paraId="79377637" w14:textId="77777777" w:rsidR="00533EEB" w:rsidRPr="00533EEB" w:rsidRDefault="00533EEB" w:rsidP="00866D96">
            <w:pPr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 Älter als 50 Jahre bei Diagnose</w:t>
            </w:r>
          </w:p>
          <w:p w14:paraId="5FBF0BFF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3F3C24C1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 xml:space="preserve">Stadium I: T1N0M0: </w:t>
            </w:r>
          </w:p>
          <w:p w14:paraId="015AE845" w14:textId="77777777" w:rsidR="00533EEB" w:rsidRPr="00533EEB" w:rsidRDefault="00533EEB" w:rsidP="00866D96">
            <w:pPr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 Älter als 50 Jahre bei Diagnose</w:t>
            </w:r>
          </w:p>
          <w:p w14:paraId="178D3E9D" w14:textId="77777777" w:rsidR="00533EEB" w:rsidRPr="00533EEB" w:rsidRDefault="00533EEB" w:rsidP="00866D96">
            <w:pPr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 Histologischer Typ: Adenokarzinom</w:t>
            </w:r>
          </w:p>
          <w:p w14:paraId="20A7D292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6145FF98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 xml:space="preserve">Stadium I: T2N0M0: </w:t>
            </w:r>
          </w:p>
          <w:p w14:paraId="556B5687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 Älter als 50 Jahre bei Diagnose</w:t>
            </w:r>
          </w:p>
          <w:p w14:paraId="11E35535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 Histologischer Typ: Adenokarzinom</w:t>
            </w:r>
          </w:p>
          <w:p w14:paraId="594895C3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  <w:tc>
          <w:tcPr>
            <w:tcW w:w="2268" w:type="dxa"/>
          </w:tcPr>
          <w:p w14:paraId="50A64CEE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16E2204E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1 Jahr</w:t>
            </w:r>
          </w:p>
          <w:p w14:paraId="7BFDFBA4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59ABC254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2D4B052E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3212886F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0C08D22F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4 Jahre</w:t>
            </w:r>
          </w:p>
          <w:p w14:paraId="49740FF8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04956E18" w14:textId="77777777" w:rsidR="00533EEB" w:rsidRPr="00533EEB" w:rsidRDefault="00533EEB" w:rsidP="002D11A9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73AD4FC1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5AD9926D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67D34E6A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30742B26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8 Jahre</w:t>
            </w:r>
          </w:p>
        </w:tc>
        <w:tc>
          <w:tcPr>
            <w:tcW w:w="2263" w:type="dxa"/>
          </w:tcPr>
          <w:p w14:paraId="73A82732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14F49391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</w:t>
            </w:r>
          </w:p>
          <w:p w14:paraId="05CDD275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440F8F7F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2400CF6F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4E229610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1FE3BB42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</w:t>
            </w:r>
          </w:p>
          <w:p w14:paraId="7E93857A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7C74837E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1CE56173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26D8492D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527C195D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7DE5F2B4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</w:t>
            </w:r>
          </w:p>
        </w:tc>
      </w:tr>
      <w:tr w:rsidR="00533EEB" w:rsidRPr="00533EEB" w14:paraId="205AB55D" w14:textId="77777777" w:rsidTr="002D11A9">
        <w:trPr>
          <w:cantSplit/>
          <w:trHeight w:val="3703"/>
        </w:trPr>
        <w:tc>
          <w:tcPr>
            <w:tcW w:w="2263" w:type="dxa"/>
          </w:tcPr>
          <w:p w14:paraId="0FC3535A" w14:textId="77777777" w:rsidR="00533EEB" w:rsidRPr="00533EEB" w:rsidRDefault="00533EEB" w:rsidP="00866D96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53614AE2" w14:textId="77777777" w:rsidR="00533EEB" w:rsidRPr="00533EEB" w:rsidRDefault="00533EEB" w:rsidP="00866D96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Schilddrüsenkrebs</w:t>
            </w:r>
          </w:p>
        </w:tc>
        <w:tc>
          <w:tcPr>
            <w:tcW w:w="2268" w:type="dxa"/>
          </w:tcPr>
          <w:p w14:paraId="568299DD" w14:textId="77777777" w:rsidR="00533EEB" w:rsidRPr="00533EEB" w:rsidRDefault="00533EEB" w:rsidP="00866D96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6B55A45A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 xml:space="preserve">Papillär/follikulär, </w:t>
            </w:r>
          </w:p>
          <w:p w14:paraId="4F8EEE35" w14:textId="77777777" w:rsidR="00533EEB" w:rsidRPr="00533EEB" w:rsidRDefault="00533EEB" w:rsidP="00866D96">
            <w:pPr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&lt; 45 Jahre bei Diagnose, Stadium I</w:t>
            </w:r>
          </w:p>
          <w:p w14:paraId="3955351B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14E31C16" w14:textId="77777777" w:rsidR="00533EEB" w:rsidRPr="00533EEB" w:rsidRDefault="00533EEB" w:rsidP="00866D96">
            <w:pPr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Papillär/follikulär, 45 Jahre oder älter bei Diagnose, Stadium I oder II</w:t>
            </w:r>
          </w:p>
          <w:p w14:paraId="67B93236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46C820A0" w14:textId="77777777" w:rsidR="00533EEB" w:rsidRPr="00533EEB" w:rsidRDefault="00533EEB" w:rsidP="00866D96">
            <w:pPr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Papillär/follikulär, 45 Jahre oder älter bei Diagnose, Stadium III</w:t>
            </w:r>
          </w:p>
          <w:p w14:paraId="06988042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  <w:tc>
          <w:tcPr>
            <w:tcW w:w="2268" w:type="dxa"/>
          </w:tcPr>
          <w:p w14:paraId="237D0732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0E89CAE1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3 Jahre</w:t>
            </w:r>
          </w:p>
          <w:p w14:paraId="5738D8AD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3ADD54DE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580D9154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1B8D24B3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3 Jahre</w:t>
            </w:r>
          </w:p>
          <w:p w14:paraId="10C5B10F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0B26519D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58159A3F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4FCB5527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468E9315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6 Jahre</w:t>
            </w:r>
          </w:p>
        </w:tc>
        <w:tc>
          <w:tcPr>
            <w:tcW w:w="2263" w:type="dxa"/>
          </w:tcPr>
          <w:p w14:paraId="66AD6544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2512DD56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3 Jahre</w:t>
            </w:r>
          </w:p>
          <w:p w14:paraId="5FC1FAD7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2FC0F8B3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1911C8C4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5A4FC398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</w:t>
            </w:r>
          </w:p>
          <w:p w14:paraId="410F877E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0BCDCE7C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71771920" w14:textId="77777777" w:rsidR="00533EEB" w:rsidRPr="00533EEB" w:rsidRDefault="00533EEB" w:rsidP="00866D96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010BD5AB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3E10AA1B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</w:t>
            </w:r>
          </w:p>
        </w:tc>
      </w:tr>
      <w:tr w:rsidR="00533EEB" w:rsidRPr="00533EEB" w14:paraId="4A890CF0" w14:textId="77777777" w:rsidTr="002D11A9">
        <w:trPr>
          <w:cantSplit/>
          <w:trHeight w:val="2645"/>
        </w:trPr>
        <w:tc>
          <w:tcPr>
            <w:tcW w:w="2263" w:type="dxa"/>
          </w:tcPr>
          <w:p w14:paraId="52EC70C6" w14:textId="77777777" w:rsidR="00533EEB" w:rsidRPr="00533EEB" w:rsidRDefault="00533EEB" w:rsidP="008E66E5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53AF3A6A" w14:textId="77777777" w:rsidR="00533EEB" w:rsidRPr="00533EEB" w:rsidRDefault="00533EEB" w:rsidP="008E66E5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Hodgkin-Lymphome</w:t>
            </w:r>
          </w:p>
        </w:tc>
        <w:tc>
          <w:tcPr>
            <w:tcW w:w="2268" w:type="dxa"/>
          </w:tcPr>
          <w:p w14:paraId="0460D039" w14:textId="77777777" w:rsidR="00533EEB" w:rsidRPr="00533EEB" w:rsidRDefault="00533EEB" w:rsidP="008E66E5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1120DAC6" w14:textId="77777777" w:rsidR="00533EEB" w:rsidRPr="00533EEB" w:rsidRDefault="00533EEB" w:rsidP="008E66E5">
            <w:pPr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Hodgkin-Lymphome Stadium 1A nach posttherapeutischem Überwachungs</w:t>
            </w:r>
            <w:r w:rsidRPr="00533EEB">
              <w:rPr>
                <w:rFonts w:ascii="Times New Roman" w:hAnsi="Times New Roman"/>
                <w:sz w:val="23"/>
                <w:lang w:val="de-DE"/>
              </w:rPr>
              <w:softHyphen/>
              <w:t xml:space="preserve">zeitraum </w:t>
            </w:r>
          </w:p>
          <w:p w14:paraId="34759D05" w14:textId="77777777" w:rsidR="00533EEB" w:rsidRPr="00533EEB" w:rsidRDefault="00533EEB" w:rsidP="008E66E5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1F15A069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Hodgkin-Lymphome Stadium 1B und 2A nach posttherapeutischem Überwachungs</w:t>
            </w:r>
            <w:r w:rsidRPr="00533EEB">
              <w:rPr>
                <w:rFonts w:ascii="Times New Roman" w:hAnsi="Times New Roman"/>
                <w:sz w:val="23"/>
                <w:lang w:val="de-DE"/>
              </w:rPr>
              <w:softHyphen/>
              <w:t>zeitraum</w:t>
            </w:r>
          </w:p>
          <w:p w14:paraId="1BB79C96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  <w:tc>
          <w:tcPr>
            <w:tcW w:w="2268" w:type="dxa"/>
          </w:tcPr>
          <w:p w14:paraId="6DFEE20F" w14:textId="77777777" w:rsidR="00533EEB" w:rsidRPr="00533EEB" w:rsidRDefault="00533EEB" w:rsidP="008E66E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663342CC" w14:textId="77777777" w:rsidR="00533EEB" w:rsidRPr="00533EEB" w:rsidRDefault="00533EEB" w:rsidP="008E66E5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6 Jahre</w:t>
            </w:r>
          </w:p>
          <w:p w14:paraId="579674EF" w14:textId="77777777" w:rsidR="00533EEB" w:rsidRPr="00533EEB" w:rsidRDefault="00533EEB" w:rsidP="008E66E5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4210D316" w14:textId="77777777" w:rsidR="00533EEB" w:rsidRPr="00533EEB" w:rsidRDefault="00533EEB" w:rsidP="008E66E5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1A7EB9CD" w14:textId="77777777" w:rsidR="00533EEB" w:rsidRPr="00533EEB" w:rsidRDefault="00533EEB" w:rsidP="008E66E5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0AAAB9E7" w14:textId="77777777" w:rsidR="00533EEB" w:rsidRPr="00533EEB" w:rsidRDefault="00533EEB" w:rsidP="008E66E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52AA90E2" w14:textId="77777777" w:rsidR="00533EEB" w:rsidRPr="00533EEB" w:rsidRDefault="00533EEB" w:rsidP="008E66E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74851041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8 Jahre</w:t>
            </w:r>
          </w:p>
        </w:tc>
        <w:tc>
          <w:tcPr>
            <w:tcW w:w="2263" w:type="dxa"/>
          </w:tcPr>
          <w:p w14:paraId="2FCD8BDE" w14:textId="77777777" w:rsidR="00533EEB" w:rsidRPr="00533EEB" w:rsidRDefault="00533EEB" w:rsidP="008E66E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7B7BA008" w14:textId="77777777" w:rsidR="00533EEB" w:rsidRPr="00533EEB" w:rsidRDefault="00533EEB" w:rsidP="008E66E5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5 Jahre</w:t>
            </w:r>
          </w:p>
          <w:p w14:paraId="50B751AF" w14:textId="77777777" w:rsidR="00533EEB" w:rsidRPr="00533EEB" w:rsidRDefault="00533EEB" w:rsidP="008E66E5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23C58D4E" w14:textId="77777777" w:rsidR="00533EEB" w:rsidRPr="00533EEB" w:rsidRDefault="00533EEB" w:rsidP="008E66E5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6CCA9DEF" w14:textId="77777777" w:rsidR="00533EEB" w:rsidRPr="00533EEB" w:rsidRDefault="00533EEB" w:rsidP="008E66E5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3419C74C" w14:textId="77777777" w:rsidR="00533EEB" w:rsidRPr="00533EEB" w:rsidRDefault="00533EEB" w:rsidP="008E66E5">
            <w:pPr>
              <w:jc w:val="center"/>
              <w:rPr>
                <w:rFonts w:ascii="Times New Roman" w:hAnsi="Times New Roman"/>
                <w:sz w:val="23"/>
                <w:lang w:val="de-DE"/>
              </w:rPr>
            </w:pPr>
          </w:p>
          <w:p w14:paraId="5BFF709F" w14:textId="77777777" w:rsidR="00533EEB" w:rsidRPr="00533EEB" w:rsidRDefault="00533EEB" w:rsidP="008E66E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71905E92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5 Jahre</w:t>
            </w:r>
          </w:p>
        </w:tc>
      </w:tr>
      <w:tr w:rsidR="00533EEB" w:rsidRPr="00533EEB" w14:paraId="5FFF18AC" w14:textId="77777777" w:rsidTr="002D11A9">
        <w:trPr>
          <w:cantSplit/>
        </w:trPr>
        <w:tc>
          <w:tcPr>
            <w:tcW w:w="2263" w:type="dxa"/>
          </w:tcPr>
          <w:p w14:paraId="06C21D72" w14:textId="77777777" w:rsidR="00533EEB" w:rsidRPr="00533EEB" w:rsidRDefault="00533EEB" w:rsidP="00866D96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5FF0521D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Akute Promyelozyten</w:t>
            </w:r>
            <w:r w:rsidRPr="00533EEB">
              <w:rPr>
                <w:rFonts w:ascii="Times New Roman" w:hAnsi="Times New Roman"/>
                <w:sz w:val="23"/>
                <w:lang w:val="de-DE"/>
              </w:rPr>
              <w:softHyphen/>
              <w:t>leukämie/APL/AML M3</w:t>
            </w:r>
          </w:p>
        </w:tc>
        <w:tc>
          <w:tcPr>
            <w:tcW w:w="2268" w:type="dxa"/>
          </w:tcPr>
          <w:p w14:paraId="218B091D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6DE96A8F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 Unabhängig von der Anzahl der Leukozyten bei der Diagnose</w:t>
            </w:r>
          </w:p>
          <w:p w14:paraId="2EA9E5AA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46DC6C05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- Behandlung abgeschlossen</w:t>
            </w:r>
          </w:p>
          <w:p w14:paraId="1128DDAD" w14:textId="77777777" w:rsidR="00533EEB" w:rsidRPr="00533EEB" w:rsidRDefault="00533EEB" w:rsidP="00866D9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  <w:tc>
          <w:tcPr>
            <w:tcW w:w="2268" w:type="dxa"/>
          </w:tcPr>
          <w:p w14:paraId="67CCF1DD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3C679815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3 Jahre</w:t>
            </w:r>
          </w:p>
        </w:tc>
        <w:tc>
          <w:tcPr>
            <w:tcW w:w="2263" w:type="dxa"/>
          </w:tcPr>
          <w:p w14:paraId="6D422D93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  <w:p w14:paraId="1EDB5957" w14:textId="77777777" w:rsidR="00533EEB" w:rsidRPr="00533EEB" w:rsidRDefault="00533EEB" w:rsidP="00866D9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533EEB">
              <w:rPr>
                <w:rFonts w:ascii="Times New Roman" w:hAnsi="Times New Roman"/>
                <w:sz w:val="23"/>
                <w:lang w:val="de-DE"/>
              </w:rPr>
              <w:t>3 Jahre</w:t>
            </w:r>
          </w:p>
        </w:tc>
      </w:tr>
    </w:tbl>
    <w:p w14:paraId="586275EB" w14:textId="77777777" w:rsidR="00533EEB" w:rsidRPr="00533EEB" w:rsidRDefault="00533EEB" w:rsidP="006957FF">
      <w:pPr>
        <w:jc w:val="both"/>
        <w:rPr>
          <w:lang w:val="de-DE"/>
        </w:rPr>
      </w:pPr>
    </w:p>
    <w:p w14:paraId="5452A6BD" w14:textId="77777777" w:rsidR="00533EEB" w:rsidRPr="00533EEB" w:rsidRDefault="00533EEB" w:rsidP="006957FF">
      <w:pPr>
        <w:jc w:val="both"/>
        <w:rPr>
          <w:lang w:val="de-DE"/>
        </w:rPr>
      </w:pPr>
      <w:r w:rsidRPr="00533EEB">
        <w:rPr>
          <w:lang w:val="de-DE"/>
        </w:rPr>
        <w:t>Es wird daran erinnert, dass die Bedingungen für den Zugang zu einer Restschuldversicherung auf der Grundlage der oben erwähnten Fristen nur gelten, wenn keine anderen Risikofaktoren oder bestehenden Pathologien vorliegen.</w:t>
      </w:r>
    </w:p>
    <w:p w14:paraId="01D38FDC" w14:textId="77777777" w:rsidR="00533EEB" w:rsidRPr="00533EEB" w:rsidRDefault="00533EEB" w:rsidP="006957FF">
      <w:pPr>
        <w:jc w:val="both"/>
        <w:rPr>
          <w:lang w:val="de-DE"/>
        </w:rPr>
      </w:pPr>
    </w:p>
    <w:p w14:paraId="67C9F040" w14:textId="71D65BED" w:rsidR="00533EEB" w:rsidRPr="00533EEB" w:rsidRDefault="00533EEB" w:rsidP="00533EEB">
      <w:pPr>
        <w:jc w:val="both"/>
        <w:rPr>
          <w:lang w:val="de-DE"/>
        </w:rPr>
      </w:pPr>
      <w:r w:rsidRPr="00533EEB">
        <w:rPr>
          <w:lang w:val="de-DE"/>
        </w:rPr>
        <w:tab/>
      </w:r>
    </w:p>
    <w:bookmarkEnd w:id="1"/>
    <w:p w14:paraId="50C09DD4" w14:textId="77777777" w:rsidR="00233F36" w:rsidRPr="00533EEB" w:rsidRDefault="00233F36" w:rsidP="00E1687C">
      <w:pPr>
        <w:jc w:val="both"/>
        <w:rPr>
          <w:lang w:val="de-DE"/>
        </w:rPr>
      </w:pPr>
    </w:p>
    <w:sectPr w:rsidR="00233F36" w:rsidRPr="00533EEB" w:rsidSect="0053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697703956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3133A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33EEB"/>
    <w:rsid w:val="00596E39"/>
    <w:rsid w:val="005D55BA"/>
    <w:rsid w:val="006F4381"/>
    <w:rsid w:val="00786C4F"/>
    <w:rsid w:val="007A515C"/>
    <w:rsid w:val="007D5F55"/>
    <w:rsid w:val="00800E1A"/>
    <w:rsid w:val="008C2124"/>
    <w:rsid w:val="009E30EC"/>
    <w:rsid w:val="00AA413E"/>
    <w:rsid w:val="00AB18C3"/>
    <w:rsid w:val="00B27BE9"/>
    <w:rsid w:val="00B56114"/>
    <w:rsid w:val="00B6272D"/>
    <w:rsid w:val="00C43D43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2F1DC"/>
  <w15:docId w15:val="{206CDD0B-4B2F-472D-9E93-F5635250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  <w:style w:type="table" w:styleId="Grilledutableau">
    <w:name w:val="Table Grid"/>
    <w:basedOn w:val="TableauNormal"/>
    <w:uiPriority w:val="39"/>
    <w:locked/>
    <w:rsid w:val="00533EEB"/>
    <w:rPr>
      <w:rFonts w:asciiTheme="minorHAnsi" w:eastAsiaTheme="minorHAnsi" w:hAnsiTheme="minorHAnsi" w:cstheme="minorBidi"/>
      <w:kern w:val="2"/>
      <w:lang w:val="de-DE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931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4</cp:revision>
  <cp:lastPrinted>2024-10-08T12:17:00Z</cp:lastPrinted>
  <dcterms:created xsi:type="dcterms:W3CDTF">2024-10-08T12:10:00Z</dcterms:created>
  <dcterms:modified xsi:type="dcterms:W3CDTF">2024-10-08T12:39:00Z</dcterms:modified>
</cp:coreProperties>
</file>