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84515" w14:textId="196133B0" w:rsidR="00FC367D" w:rsidRPr="00AC2802" w:rsidRDefault="00FC367D" w:rsidP="00FC367D">
      <w:pPr>
        <w:jc w:val="both"/>
        <w:rPr>
          <w:b/>
          <w:bCs/>
        </w:rPr>
      </w:pPr>
      <w:r>
        <w:rPr>
          <w:b/>
        </w:rPr>
        <w:t>16. APRIL 2023 - Gesetz zur Zustimmung zum Übereinkommen Nr. 190 über die Beseitigung von Gewalt und Belästigung in der Arbeitswelt, abgeschlossen in Genf am 21. Juni 2019 von der Internationalen Arbeitskonferenz während ihrer 108.</w:t>
      </w:r>
      <w:r w:rsidR="00C34D83">
        <w:rPr>
          <w:b/>
        </w:rPr>
        <w:t> </w:t>
      </w:r>
      <w:r>
        <w:rPr>
          <w:b/>
        </w:rPr>
        <w:t>Tagung</w:t>
      </w:r>
    </w:p>
    <w:p w14:paraId="039EE709" w14:textId="77777777" w:rsidR="00FC367D" w:rsidRDefault="00FC367D" w:rsidP="00FC367D">
      <w:pPr>
        <w:jc w:val="both"/>
      </w:pPr>
    </w:p>
    <w:p w14:paraId="58366613" w14:textId="77777777" w:rsidR="00FC367D" w:rsidRPr="00FC367D" w:rsidRDefault="00FC367D">
      <w:pPr>
        <w:rPr>
          <w:rFonts w:cs="Times New Roman"/>
        </w:rPr>
      </w:pPr>
    </w:p>
    <w:p w14:paraId="39F6C89C" w14:textId="6E747D38" w:rsidR="00FC367D" w:rsidRPr="00FC367D" w:rsidRDefault="00FC367D" w:rsidP="000F5F44">
      <w:pPr>
        <w:jc w:val="center"/>
        <w:rPr>
          <w:rFonts w:cs="Times New Roman"/>
          <w:i/>
        </w:rPr>
      </w:pPr>
      <w:r w:rsidRPr="00FC367D">
        <w:rPr>
          <w:rFonts w:cs="Times New Roman"/>
        </w:rPr>
        <w:t>(</w:t>
      </w:r>
      <w:r w:rsidRPr="00FC367D">
        <w:rPr>
          <w:rFonts w:cs="Times New Roman"/>
          <w:i/>
        </w:rPr>
        <w:t xml:space="preserve">Belgisches Staatsblatt </w:t>
      </w:r>
      <w:r w:rsidRPr="00FC367D">
        <w:rPr>
          <w:rFonts w:cs="Times New Roman"/>
        </w:rPr>
        <w:t xml:space="preserve">vom </w:t>
      </w:r>
      <w:r>
        <w:rPr>
          <w:rFonts w:cs="Times New Roman"/>
        </w:rPr>
        <w:t>14. Oktober 2024</w:t>
      </w:r>
      <w:r w:rsidRPr="00FC367D">
        <w:rPr>
          <w:rFonts w:cs="Times New Roman"/>
        </w:rPr>
        <w:t>)</w:t>
      </w:r>
    </w:p>
    <w:p w14:paraId="4B7AE894" w14:textId="77777777" w:rsidR="00FC367D" w:rsidRPr="00FC367D" w:rsidRDefault="00FC367D" w:rsidP="000F5F44">
      <w:pPr>
        <w:jc w:val="center"/>
        <w:rPr>
          <w:rFonts w:cs="Times New Roman"/>
        </w:rPr>
      </w:pPr>
    </w:p>
    <w:p w14:paraId="453962C9" w14:textId="77777777" w:rsidR="00FC367D" w:rsidRPr="00FC367D" w:rsidRDefault="00FC367D" w:rsidP="00CA081B">
      <w:pPr>
        <w:jc w:val="center"/>
        <w:rPr>
          <w:rFonts w:cs="Times New Roman"/>
        </w:rPr>
      </w:pPr>
    </w:p>
    <w:p w14:paraId="458F9DDF" w14:textId="77777777" w:rsidR="00FC367D" w:rsidRPr="00FC367D" w:rsidRDefault="00FC367D" w:rsidP="00CA081B">
      <w:pPr>
        <w:jc w:val="both"/>
        <w:rPr>
          <w:rFonts w:cs="Times New Roman"/>
        </w:rPr>
      </w:pPr>
      <w:r w:rsidRPr="00FC367D">
        <w:rPr>
          <w:rFonts w:cs="Times New Roman"/>
        </w:rPr>
        <w:t>Diese deutsche Übersetzung ist von der Zentralen Dienststelle für Deutsche Übersetzungen in Malmedy erstellt worden.</w:t>
      </w:r>
    </w:p>
    <w:p w14:paraId="31A86096" w14:textId="77777777" w:rsidR="00FC367D" w:rsidRPr="00FC367D" w:rsidRDefault="00FC367D" w:rsidP="00CA081B">
      <w:pPr>
        <w:jc w:val="both"/>
        <w:rPr>
          <w:rFonts w:cs="Times New Roman"/>
        </w:rPr>
      </w:pPr>
    </w:p>
    <w:p w14:paraId="238E158A" w14:textId="77777777" w:rsidR="00FC367D" w:rsidRPr="00FC367D" w:rsidRDefault="00FC367D" w:rsidP="00CA081B">
      <w:pPr>
        <w:jc w:val="both"/>
        <w:rPr>
          <w:rFonts w:cs="Times New Roman"/>
        </w:rPr>
      </w:pPr>
    </w:p>
    <w:p w14:paraId="1CDD07B5" w14:textId="77777777" w:rsidR="00FC367D" w:rsidRDefault="00FC367D" w:rsidP="006F4381">
      <w:pPr>
        <w:jc w:val="both"/>
        <w:sectPr w:rsidR="00FC367D" w:rsidSect="00FC367D">
          <w:pgSz w:w="11906" w:h="16838" w:code="9"/>
          <w:pgMar w:top="1418" w:right="1418" w:bottom="1418" w:left="1418" w:header="709" w:footer="709" w:gutter="0"/>
          <w:cols w:space="708"/>
          <w:vAlign w:val="center"/>
          <w:docGrid w:linePitch="360"/>
        </w:sectPr>
      </w:pPr>
    </w:p>
    <w:p w14:paraId="0E7C28E3" w14:textId="3C18D764" w:rsidR="00AC2802" w:rsidRPr="00AC2802" w:rsidRDefault="00AC2802" w:rsidP="00AC2802">
      <w:pPr>
        <w:jc w:val="center"/>
        <w:rPr>
          <w:b/>
          <w:bCs/>
          <w:caps/>
        </w:rPr>
      </w:pPr>
      <w:r>
        <w:rPr>
          <w:b/>
          <w:caps/>
        </w:rPr>
        <w:lastRenderedPageBreak/>
        <w:t>FÖDERALER ÖFFENTLICHER DIENST AUSWÄRTIGE ANGELEGENHEITEN, AUSSENHANDEL UND ENTWICKLUNGSZUSAMMENARBEIT</w:t>
      </w:r>
    </w:p>
    <w:p w14:paraId="055A5943" w14:textId="77777777" w:rsidR="00AC2802" w:rsidRDefault="00AC2802" w:rsidP="00AC2802">
      <w:pPr>
        <w:jc w:val="both"/>
      </w:pPr>
    </w:p>
    <w:p w14:paraId="21276D57" w14:textId="77777777" w:rsidR="00AC2802" w:rsidRDefault="00AC2802" w:rsidP="00AC2802">
      <w:pPr>
        <w:jc w:val="both"/>
      </w:pPr>
    </w:p>
    <w:p w14:paraId="4C3940FD" w14:textId="01CDE98C" w:rsidR="00AC2802" w:rsidRPr="00AC2802" w:rsidRDefault="00AC2802" w:rsidP="00AC2802">
      <w:pPr>
        <w:jc w:val="both"/>
        <w:rPr>
          <w:b/>
          <w:bCs/>
        </w:rPr>
      </w:pPr>
      <w:r>
        <w:rPr>
          <w:b/>
        </w:rPr>
        <w:t>16. APRIL 2023 - Gesetz zur Zustimmung zum Übereinkommen Nr. 190 über die Beseitigung von Gewalt und Belästigung in der Arbeitswelt, abgeschlossen in Genf am 21. Juni 2019 von der Internationalen Arbeitskonferenz während ihrer 108.</w:t>
      </w:r>
      <w:r w:rsidR="00C34D83">
        <w:rPr>
          <w:b/>
        </w:rPr>
        <w:t> </w:t>
      </w:r>
      <w:r>
        <w:rPr>
          <w:b/>
        </w:rPr>
        <w:t>Tagung</w:t>
      </w:r>
    </w:p>
    <w:p w14:paraId="4B7F1069" w14:textId="77777777" w:rsidR="00AC2802" w:rsidRDefault="00AC2802" w:rsidP="00AC2802">
      <w:pPr>
        <w:jc w:val="both"/>
      </w:pPr>
    </w:p>
    <w:p w14:paraId="64A57890" w14:textId="77777777" w:rsidR="00AC2802" w:rsidRDefault="00AC2802" w:rsidP="00AC2802">
      <w:pPr>
        <w:jc w:val="both"/>
      </w:pPr>
    </w:p>
    <w:p w14:paraId="3B0F2626" w14:textId="45EB5076" w:rsidR="00AC2802" w:rsidRDefault="00AC2802" w:rsidP="00AC2802">
      <w:pPr>
        <w:jc w:val="both"/>
      </w:pPr>
      <w:r>
        <w:tab/>
      </w:r>
      <w:r>
        <w:tab/>
      </w:r>
      <w:r>
        <w:tab/>
        <w:t>PHILIPPE, König der Belgier,</w:t>
      </w:r>
    </w:p>
    <w:p w14:paraId="4CE24DB1" w14:textId="77777777" w:rsidR="00AC2802" w:rsidRDefault="00AC2802" w:rsidP="00AC2802">
      <w:pPr>
        <w:jc w:val="both"/>
      </w:pPr>
    </w:p>
    <w:p w14:paraId="4F37409E" w14:textId="0823F0DD" w:rsidR="00AC2802" w:rsidRDefault="00AC2802" w:rsidP="00AC2802">
      <w:pPr>
        <w:jc w:val="both"/>
      </w:pPr>
      <w:r>
        <w:tab/>
      </w:r>
      <w:r>
        <w:tab/>
        <w:t>Allen Gegenwärtigen und Zukünftigen, Unser Gruß!</w:t>
      </w:r>
    </w:p>
    <w:p w14:paraId="47054770" w14:textId="77777777" w:rsidR="00AC2802" w:rsidRDefault="00AC2802" w:rsidP="00AC2802">
      <w:pPr>
        <w:jc w:val="both"/>
      </w:pPr>
    </w:p>
    <w:p w14:paraId="7E804EB1" w14:textId="77777777" w:rsidR="00AC2802" w:rsidRDefault="00AC2802" w:rsidP="00AC2802">
      <w:pPr>
        <w:jc w:val="both"/>
      </w:pPr>
    </w:p>
    <w:p w14:paraId="15B6CBD0" w14:textId="1B57D769" w:rsidR="00AC2802" w:rsidRDefault="00AC2802" w:rsidP="00AC2802">
      <w:pPr>
        <w:jc w:val="both"/>
      </w:pPr>
      <w:r>
        <w:tab/>
        <w:t>Die Abgeordnetenkammer hat das Folgende angenommen und Wir sanktionieren es:</w:t>
      </w:r>
    </w:p>
    <w:p w14:paraId="6A29AA76" w14:textId="77777777" w:rsidR="00AC2802" w:rsidRDefault="00AC2802" w:rsidP="00AC2802">
      <w:pPr>
        <w:jc w:val="both"/>
      </w:pPr>
    </w:p>
    <w:p w14:paraId="20B598F2" w14:textId="77777777" w:rsidR="00AC2802" w:rsidRDefault="00AC2802" w:rsidP="00AC2802">
      <w:pPr>
        <w:jc w:val="both"/>
      </w:pPr>
    </w:p>
    <w:p w14:paraId="71B94019" w14:textId="5B837D56" w:rsidR="00AC2802" w:rsidRDefault="00AC2802" w:rsidP="00AC2802">
      <w:pPr>
        <w:jc w:val="both"/>
      </w:pPr>
      <w:r>
        <w:tab/>
      </w:r>
      <w:r>
        <w:rPr>
          <w:b/>
          <w:bCs/>
        </w:rPr>
        <w:t>Artikel 1</w:t>
      </w:r>
      <w:r>
        <w:t xml:space="preserve"> - Vorliegendes Gesetz regelt eine in Artikel 74 der Verfassung erwähnte Angelegenheit.</w:t>
      </w:r>
    </w:p>
    <w:p w14:paraId="77343755" w14:textId="77777777" w:rsidR="00AC2802" w:rsidRDefault="00AC2802" w:rsidP="00AC2802">
      <w:pPr>
        <w:jc w:val="both"/>
      </w:pPr>
    </w:p>
    <w:p w14:paraId="6ADCE428" w14:textId="77777777" w:rsidR="00AC2802" w:rsidRDefault="00AC2802" w:rsidP="00AC2802">
      <w:pPr>
        <w:jc w:val="both"/>
      </w:pPr>
    </w:p>
    <w:p w14:paraId="3729D415" w14:textId="384A312E" w:rsidR="00AC2802" w:rsidRDefault="00AC2802" w:rsidP="00AC2802">
      <w:pPr>
        <w:jc w:val="both"/>
      </w:pPr>
      <w:r>
        <w:tab/>
      </w:r>
      <w:r>
        <w:rPr>
          <w:b/>
          <w:bCs/>
        </w:rPr>
        <w:t>Art. 2 -</w:t>
      </w:r>
      <w:r>
        <w:t xml:space="preserve"> Das Übereinkommen Nr. 190 über die Beseitigung von Gewalt und Belästigung in der Arbeitswelt, abgeschlossen in Genf am 21. Juni 2019 von der Internationalen Arbeitskonferenz während ihrer 108. Tagung, wird voll und ganz wirksam</w:t>
      </w:r>
    </w:p>
    <w:p w14:paraId="3356120A" w14:textId="77777777" w:rsidR="00AC2802" w:rsidRDefault="00AC2802" w:rsidP="00AC2802">
      <w:pPr>
        <w:jc w:val="both"/>
      </w:pPr>
    </w:p>
    <w:p w14:paraId="5ABA05B7" w14:textId="155DD06A" w:rsidR="00AC2802" w:rsidRDefault="00AC2802" w:rsidP="00AC2802">
      <w:pPr>
        <w:jc w:val="both"/>
      </w:pPr>
      <w:r>
        <w:tab/>
        <w:t xml:space="preserve">Wir fertigen das vorliegende Gesetz aus und ordnen an, dass es mit dem Staatssiegel versehen und durch das </w:t>
      </w:r>
      <w:r>
        <w:rPr>
          <w:i/>
        </w:rPr>
        <w:t>Belgische Staatsblatt</w:t>
      </w:r>
      <w:r>
        <w:t xml:space="preserve"> veröffentlicht wird.</w:t>
      </w:r>
    </w:p>
    <w:p w14:paraId="2D7A2063" w14:textId="77777777" w:rsidR="00AC2802" w:rsidRDefault="00AC2802" w:rsidP="00AC2802">
      <w:pPr>
        <w:jc w:val="both"/>
      </w:pPr>
    </w:p>
    <w:p w14:paraId="20DA9C8E" w14:textId="77777777" w:rsidR="00AC2802" w:rsidRDefault="00AC2802" w:rsidP="00AC2802">
      <w:pPr>
        <w:jc w:val="both"/>
      </w:pPr>
    </w:p>
    <w:p w14:paraId="413946D0" w14:textId="6AD46DDD" w:rsidR="00AC2802" w:rsidRDefault="00AC2C30" w:rsidP="00AC2802">
      <w:pPr>
        <w:jc w:val="both"/>
      </w:pPr>
      <w:r>
        <w:tab/>
        <w:t>Gegeben zu Brüssel, den 16.</w:t>
      </w:r>
      <w:r w:rsidR="00C34D83">
        <w:t> </w:t>
      </w:r>
      <w:r>
        <w:t>April</w:t>
      </w:r>
      <w:r w:rsidR="00C34D83">
        <w:t> </w:t>
      </w:r>
      <w:r>
        <w:t>2023</w:t>
      </w:r>
    </w:p>
    <w:p w14:paraId="4C423579" w14:textId="77777777" w:rsidR="00AC2802" w:rsidRDefault="00AC2802" w:rsidP="00AC2802">
      <w:pPr>
        <w:jc w:val="both"/>
      </w:pPr>
    </w:p>
    <w:p w14:paraId="5DA54EEE" w14:textId="77777777" w:rsidR="00AC2802" w:rsidRDefault="00AC2802" w:rsidP="00AC2802">
      <w:pPr>
        <w:jc w:val="both"/>
      </w:pPr>
    </w:p>
    <w:p w14:paraId="4D5E7307" w14:textId="230A4FD4" w:rsidR="00AC2802" w:rsidRDefault="00AC2802" w:rsidP="00AC2802">
      <w:pPr>
        <w:jc w:val="center"/>
      </w:pPr>
      <w:r>
        <w:t>PHILIPPE</w:t>
      </w:r>
    </w:p>
    <w:p w14:paraId="76BB5F16" w14:textId="77777777" w:rsidR="00AC2802" w:rsidRDefault="00AC2802" w:rsidP="00AC2802">
      <w:pPr>
        <w:jc w:val="center"/>
      </w:pPr>
    </w:p>
    <w:p w14:paraId="3B6FA8BD" w14:textId="77777777" w:rsidR="00AC2802" w:rsidRDefault="00AC2802" w:rsidP="00AC2802">
      <w:pPr>
        <w:jc w:val="center"/>
      </w:pPr>
      <w:r>
        <w:t>Von Königs wegen:</w:t>
      </w:r>
    </w:p>
    <w:p w14:paraId="469A702D" w14:textId="77777777" w:rsidR="00AC2802" w:rsidRDefault="00AC2802" w:rsidP="00AC2802">
      <w:pPr>
        <w:jc w:val="center"/>
      </w:pPr>
    </w:p>
    <w:p w14:paraId="45A9224B" w14:textId="77777777" w:rsidR="00AC2802" w:rsidRDefault="00AC2802" w:rsidP="00AC2802">
      <w:pPr>
        <w:jc w:val="center"/>
      </w:pPr>
      <w:r>
        <w:t>Der Minister der Arbeit</w:t>
      </w:r>
    </w:p>
    <w:p w14:paraId="0495639A" w14:textId="77777777" w:rsidR="00AC2802" w:rsidRDefault="00AC2802" w:rsidP="00AC2802">
      <w:pPr>
        <w:jc w:val="center"/>
      </w:pPr>
      <w:r>
        <w:t>P-Y. DERMAGNE</w:t>
      </w:r>
    </w:p>
    <w:p w14:paraId="5C5E1A7F" w14:textId="77777777" w:rsidR="00AC2802" w:rsidRDefault="00AC2802" w:rsidP="00AC2802">
      <w:pPr>
        <w:jc w:val="center"/>
      </w:pPr>
    </w:p>
    <w:p w14:paraId="721AC1F1" w14:textId="77777777" w:rsidR="00AC2802" w:rsidRDefault="00AC2802" w:rsidP="00AC2802">
      <w:pPr>
        <w:jc w:val="center"/>
      </w:pPr>
      <w:r>
        <w:t>Der Minister der Mobilität</w:t>
      </w:r>
    </w:p>
    <w:p w14:paraId="078F20D5" w14:textId="77777777" w:rsidR="00AC2802" w:rsidRDefault="00AC2802" w:rsidP="00AC2802">
      <w:pPr>
        <w:jc w:val="center"/>
      </w:pPr>
      <w:r>
        <w:t>G. GILKINET</w:t>
      </w:r>
    </w:p>
    <w:p w14:paraId="1AB0DC69" w14:textId="77777777" w:rsidR="00AC2802" w:rsidRDefault="00AC2802" w:rsidP="00AC2802">
      <w:pPr>
        <w:jc w:val="center"/>
      </w:pPr>
    </w:p>
    <w:p w14:paraId="18EB3C9C" w14:textId="77777777" w:rsidR="00AC2802" w:rsidRDefault="00AC2802" w:rsidP="00AC2802">
      <w:pPr>
        <w:jc w:val="center"/>
      </w:pPr>
      <w:r>
        <w:t>Der Minister der Justiz</w:t>
      </w:r>
    </w:p>
    <w:p w14:paraId="1380ED1D" w14:textId="5B6EEF93" w:rsidR="00AC2802" w:rsidRDefault="00AC2802" w:rsidP="00AC2802">
      <w:pPr>
        <w:jc w:val="center"/>
      </w:pPr>
      <w:r>
        <w:t>V. VAN QUICKENBORNE</w:t>
      </w:r>
    </w:p>
    <w:p w14:paraId="27D9877F" w14:textId="77777777" w:rsidR="00AC2802" w:rsidRDefault="00AC2802" w:rsidP="00AC2802">
      <w:pPr>
        <w:jc w:val="center"/>
      </w:pPr>
    </w:p>
    <w:p w14:paraId="54152D1A" w14:textId="77777777" w:rsidR="00AC2802" w:rsidRDefault="00AC2802" w:rsidP="00AC2802">
      <w:pPr>
        <w:jc w:val="center"/>
      </w:pPr>
      <w:r>
        <w:t>Die Ministerin der Auswärtigen Angelegenheiten</w:t>
      </w:r>
    </w:p>
    <w:p w14:paraId="4B7027CB" w14:textId="77777777" w:rsidR="00AC2802" w:rsidRDefault="00AC2802" w:rsidP="00AC2802">
      <w:pPr>
        <w:jc w:val="center"/>
      </w:pPr>
      <w:r>
        <w:t>H. LAHBIB</w:t>
      </w:r>
    </w:p>
    <w:p w14:paraId="4998078A" w14:textId="77777777" w:rsidR="00AC2802" w:rsidRDefault="00AC2802" w:rsidP="00AC2802">
      <w:pPr>
        <w:jc w:val="center"/>
      </w:pPr>
    </w:p>
    <w:p w14:paraId="28B37F6C" w14:textId="77777777" w:rsidR="00AC2802" w:rsidRDefault="00AC2802" w:rsidP="00AC2802">
      <w:pPr>
        <w:jc w:val="center"/>
      </w:pPr>
      <w:r>
        <w:t>Die Staatssekretärin für Chancengleichheit</w:t>
      </w:r>
    </w:p>
    <w:p w14:paraId="092C2290" w14:textId="77777777" w:rsidR="00AC2802" w:rsidRDefault="00AC2802" w:rsidP="00AC2802">
      <w:pPr>
        <w:jc w:val="center"/>
      </w:pPr>
      <w:r>
        <w:t>S. SCHLITZ</w:t>
      </w:r>
    </w:p>
    <w:p w14:paraId="2F854589" w14:textId="77777777" w:rsidR="00AC2802" w:rsidRDefault="00AC2802" w:rsidP="00AC2802">
      <w:pPr>
        <w:jc w:val="center"/>
      </w:pPr>
    </w:p>
    <w:p w14:paraId="7D3696FF" w14:textId="1AC4F692" w:rsidR="00AC2802" w:rsidRDefault="00AC2802" w:rsidP="00AC2802">
      <w:pPr>
        <w:jc w:val="center"/>
      </w:pPr>
      <w:r>
        <w:t>Mit dem Staatssiegel versehen:</w:t>
      </w:r>
    </w:p>
    <w:p w14:paraId="166D1CCF" w14:textId="77777777" w:rsidR="00AC2802" w:rsidRDefault="00AC2802" w:rsidP="00AC2802">
      <w:pPr>
        <w:jc w:val="center"/>
      </w:pPr>
    </w:p>
    <w:p w14:paraId="324BA6AE" w14:textId="77777777" w:rsidR="00AC2802" w:rsidRDefault="00AC2802" w:rsidP="00AC2802">
      <w:pPr>
        <w:jc w:val="center"/>
      </w:pPr>
      <w:r>
        <w:t>Der Minister der Justiz</w:t>
      </w:r>
    </w:p>
    <w:p w14:paraId="727B188E" w14:textId="1B46265F" w:rsidR="00945EA5" w:rsidRDefault="00AC2802" w:rsidP="00AC2802">
      <w:pPr>
        <w:jc w:val="center"/>
      </w:pPr>
      <w:r>
        <w:t>V. VAN QUICKENBORNE</w:t>
      </w:r>
    </w:p>
    <w:p w14:paraId="6F131017" w14:textId="77777777" w:rsidR="00AC3CA8" w:rsidRDefault="00AC3CA8" w:rsidP="00AC2802">
      <w:pPr>
        <w:jc w:val="both"/>
      </w:pPr>
    </w:p>
    <w:p w14:paraId="1ED227DA" w14:textId="77777777" w:rsidR="00AC3CA8" w:rsidRDefault="00AC3CA8" w:rsidP="00AC3CA8">
      <w:pPr>
        <w:jc w:val="both"/>
      </w:pPr>
      <w:bookmarkStart w:id="0" w:name="_Hlk178237790"/>
    </w:p>
    <w:p w14:paraId="7F4FA29E" w14:textId="77777777" w:rsidR="00AC3CA8" w:rsidRPr="00113094" w:rsidRDefault="00AC3CA8" w:rsidP="00AC3CA8">
      <w:pPr>
        <w:spacing w:line="19" w:lineRule="exact"/>
        <w:jc w:val="both"/>
      </w:pPr>
      <w:r>
        <w:rPr>
          <w:noProof/>
          <w:lang w:val="fr-BE" w:eastAsia="fr-BE"/>
        </w:rPr>
        <mc:AlternateContent>
          <mc:Choice Requires="wps">
            <w:drawing>
              <wp:anchor distT="0" distB="0" distL="114300" distR="114300" simplePos="0" relativeHeight="251659264" behindDoc="1" locked="1" layoutInCell="0" allowOverlap="1" wp14:anchorId="2D1E9218" wp14:editId="08D75E97">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CA8A4"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bookmarkEnd w:id="0"/>
    </w:p>
    <w:p w14:paraId="17CF90B8" w14:textId="77777777" w:rsidR="00AC3CA8" w:rsidRDefault="00AC3CA8" w:rsidP="00945EA5">
      <w:pPr>
        <w:jc w:val="both"/>
      </w:pPr>
    </w:p>
    <w:p w14:paraId="718F4295" w14:textId="77777777" w:rsidR="00945EA5" w:rsidRDefault="00945EA5" w:rsidP="00945EA5">
      <w:pPr>
        <w:jc w:val="both"/>
      </w:pPr>
    </w:p>
    <w:p w14:paraId="486F7371" w14:textId="52F6F0B1" w:rsidR="00AC3CA8" w:rsidRDefault="00AC3CA8" w:rsidP="00AC3CA8">
      <w:pPr>
        <w:jc w:val="center"/>
      </w:pPr>
      <w:r>
        <w:t>ÜBERSETZUNG</w:t>
      </w:r>
    </w:p>
    <w:p w14:paraId="5477F6BE" w14:textId="77777777" w:rsidR="00AC3CA8" w:rsidRDefault="00AC3CA8" w:rsidP="00945EA5">
      <w:pPr>
        <w:jc w:val="both"/>
      </w:pPr>
    </w:p>
    <w:p w14:paraId="08365F72" w14:textId="77777777" w:rsidR="00AC3CA8" w:rsidRDefault="00AC3CA8" w:rsidP="00945EA5">
      <w:pPr>
        <w:jc w:val="both"/>
      </w:pPr>
    </w:p>
    <w:p w14:paraId="004FBA56" w14:textId="039B22B6" w:rsidR="00A96332" w:rsidRPr="00945EA5" w:rsidRDefault="00C67805" w:rsidP="00945EA5">
      <w:pPr>
        <w:jc w:val="center"/>
        <w:rPr>
          <w:b/>
          <w:bCs/>
          <w:caps/>
        </w:rPr>
      </w:pPr>
      <w:r>
        <w:rPr>
          <w:b/>
          <w:caps/>
        </w:rPr>
        <w:t>ÜBEREINKOMMEN ÜBER DIE BESEITIGUNG VON GEWALT UND BELÄSTIGUNG IN DER ARBEITSWELT</w:t>
      </w:r>
    </w:p>
    <w:p w14:paraId="63348DE8" w14:textId="77777777" w:rsidR="00C67805" w:rsidRDefault="00C67805" w:rsidP="00945EA5">
      <w:pPr>
        <w:jc w:val="both"/>
      </w:pPr>
    </w:p>
    <w:p w14:paraId="5E0C821C" w14:textId="77777777" w:rsidR="00945EA5" w:rsidRDefault="00945EA5" w:rsidP="00945EA5">
      <w:pPr>
        <w:jc w:val="both"/>
      </w:pPr>
    </w:p>
    <w:p w14:paraId="3C86711C" w14:textId="7214F2AE" w:rsidR="00C67805" w:rsidRDefault="00AC2C30" w:rsidP="00945EA5">
      <w:pPr>
        <w:jc w:val="both"/>
      </w:pPr>
      <w:r>
        <w:tab/>
        <w:t>Die Allgemeine Konferenz der Internationalen Arbeitsorganisation,</w:t>
      </w:r>
    </w:p>
    <w:p w14:paraId="0FDF8B78" w14:textId="77777777" w:rsidR="004E2F0E" w:rsidRDefault="004E2F0E" w:rsidP="00945EA5">
      <w:pPr>
        <w:jc w:val="both"/>
      </w:pPr>
    </w:p>
    <w:p w14:paraId="3DBD0E91" w14:textId="00DB814D" w:rsidR="00C67805" w:rsidRDefault="00AC2C30" w:rsidP="00945EA5">
      <w:pPr>
        <w:jc w:val="both"/>
      </w:pPr>
      <w:r>
        <w:tab/>
        <w:t>die vom Verwaltungsrat des Internationalen Arbeitsamtes nach Genf einberufen wurde und am 10.</w:t>
      </w:r>
      <w:r w:rsidR="00C34D83">
        <w:t> </w:t>
      </w:r>
      <w:r>
        <w:t>Juni</w:t>
      </w:r>
      <w:r w:rsidR="00C34D83">
        <w:t> </w:t>
      </w:r>
      <w:r>
        <w:t>2019 zu ihrer 108.</w:t>
      </w:r>
      <w:r w:rsidR="00C34D83">
        <w:t> </w:t>
      </w:r>
      <w:r>
        <w:t>Tagung (Jubiläumstagung) zusammengetreten ist,</w:t>
      </w:r>
    </w:p>
    <w:p w14:paraId="53D1E744" w14:textId="77777777" w:rsidR="004E2F0E" w:rsidRDefault="004E2F0E" w:rsidP="00945EA5">
      <w:pPr>
        <w:jc w:val="both"/>
      </w:pPr>
    </w:p>
    <w:p w14:paraId="1C69AB96" w14:textId="5C0E9F53" w:rsidR="00C67805" w:rsidRDefault="00AC2C30" w:rsidP="00945EA5">
      <w:pPr>
        <w:jc w:val="both"/>
      </w:pPr>
      <w:r>
        <w:tab/>
        <w:t>weist darauf hin, dass in der Erklärung von Philadelphia bekräftigt wird, dass alle Menschen, ungeachtet ihrer Rasse, ihres Glaubens und ihres Geschlechts, das Recht haben, materiellen Wohlstand und geistige Entwicklung in Freiheit und Würde, in wirtschaftlicher Sicherheit und unter gleich günstigen Bedingungen zu erstreben,</w:t>
      </w:r>
    </w:p>
    <w:p w14:paraId="05055A1D" w14:textId="77777777" w:rsidR="004E2F0E" w:rsidRDefault="004E2F0E" w:rsidP="00945EA5">
      <w:pPr>
        <w:jc w:val="both"/>
      </w:pPr>
    </w:p>
    <w:p w14:paraId="1CE85D01" w14:textId="380308B9" w:rsidR="00C67805" w:rsidRDefault="00AC2C30" w:rsidP="00945EA5">
      <w:pPr>
        <w:jc w:val="both"/>
      </w:pPr>
      <w:r>
        <w:tab/>
        <w:t>bekräftigt die Bedeutung der grundlegenden Übereinkommen der Internationalen Arbeitsorganisation,</w:t>
      </w:r>
    </w:p>
    <w:p w14:paraId="009B6290" w14:textId="77777777" w:rsidR="004E2F0E" w:rsidRDefault="004E2F0E" w:rsidP="00945EA5">
      <w:pPr>
        <w:jc w:val="both"/>
      </w:pPr>
    </w:p>
    <w:p w14:paraId="6685019A" w14:textId="67726551" w:rsidR="00C67805" w:rsidRDefault="00AC2C30" w:rsidP="00945EA5">
      <w:pPr>
        <w:jc w:val="both"/>
      </w:pPr>
      <w:r>
        <w:tab/>
        <w:t>verweist auf andere einschlägige internationale Instrumente wie die Allgemeine Erklärung der Menschenrechte, den Internationalen Pakt über bürgerliche und politische Rechte, den Internationalen Pakt über wirtschaftliche, soziale und kulturelle Rechte, das Internationale Übereinkommen zur Beseitigung jeder Form von Rassendiskriminierung, das Übereinkommen zur Beseitigung jeder Form von Diskriminierung der Frau, die Internationale Konvention zum Schutz der Rechte aller Wanderarbeitnehmer und ihrer Familienangehörigen und das Übereinkommen der Vereinten Nationen über die Rechte von Menschen mit Behinderungen,</w:t>
      </w:r>
    </w:p>
    <w:p w14:paraId="03F26552" w14:textId="77777777" w:rsidR="004E2F0E" w:rsidRDefault="004E2F0E" w:rsidP="00945EA5">
      <w:pPr>
        <w:jc w:val="both"/>
      </w:pPr>
    </w:p>
    <w:p w14:paraId="170C4F72" w14:textId="2AA5B28A" w:rsidR="00C67805" w:rsidRDefault="00AC2C30" w:rsidP="00945EA5">
      <w:pPr>
        <w:jc w:val="both"/>
      </w:pPr>
      <w:r>
        <w:tab/>
        <w:t>erkennt an, dass jede Person das Recht auf eine Arbeitswelt ohne Gewalt und Belästigung, einschließlich genderspezifischer Gewalt und Belästigung, hat,</w:t>
      </w:r>
    </w:p>
    <w:p w14:paraId="42E6658C" w14:textId="77777777" w:rsidR="004E2F0E" w:rsidRDefault="004E2F0E" w:rsidP="00945EA5">
      <w:pPr>
        <w:jc w:val="both"/>
      </w:pPr>
    </w:p>
    <w:p w14:paraId="72249B4C" w14:textId="31BF1101" w:rsidR="00C67805" w:rsidRDefault="00AC2C30" w:rsidP="00945EA5">
      <w:pPr>
        <w:jc w:val="both"/>
      </w:pPr>
      <w:r>
        <w:tab/>
        <w:t>erkennt an, dass Gewalt und Belästigung in der Arbeitswelt eine Verletzung oder einen Missbrauch der Menschenrechte darstellen können und dass Gewalt und Belästigung eine Bedrohung für die Chancengleichheit, inakzeptabel und mit menschenwürdiger Arbeit unvereinbar sind,</w:t>
      </w:r>
    </w:p>
    <w:p w14:paraId="3DB51800" w14:textId="77777777" w:rsidR="004E2F0E" w:rsidRDefault="004E2F0E" w:rsidP="00945EA5">
      <w:pPr>
        <w:jc w:val="both"/>
      </w:pPr>
    </w:p>
    <w:p w14:paraId="18B6C273" w14:textId="09FC2809" w:rsidR="00C67805" w:rsidRDefault="00AC2C30" w:rsidP="00945EA5">
      <w:pPr>
        <w:jc w:val="both"/>
      </w:pPr>
      <w:r>
        <w:tab/>
        <w:t>erkennt an, wie wichtig eine auf gegenseitiger Achtung und auf der Würde des Menschen beruhende Arbeitskultur ist, um Gewalt und Belästigung zu verhindern,</w:t>
      </w:r>
    </w:p>
    <w:p w14:paraId="074FF8A5" w14:textId="77777777" w:rsidR="004E2F0E" w:rsidRDefault="004E2F0E" w:rsidP="00945EA5">
      <w:pPr>
        <w:jc w:val="both"/>
      </w:pPr>
    </w:p>
    <w:p w14:paraId="36EB7BE6" w14:textId="29989E7D" w:rsidR="00C67805" w:rsidRDefault="00AC2C30" w:rsidP="00945EA5">
      <w:pPr>
        <w:jc w:val="both"/>
      </w:pPr>
      <w:r>
        <w:lastRenderedPageBreak/>
        <w:tab/>
        <w:t>weist darauf hin, dass die Mitglieder eine große Verantwortung dafür haben, ein allgemeines Umfeld von Nulltoleranz gegenüber Gewalt und Belästigung zu fördern, um die Prävention solcher Verhaltensweisen und Praktiken zu erleichtern, und dass alle Akteure in der Arbeitswelt Gewalt und Belästigung unterlassen, verhindern und dagegen vorgehen müssen,</w:t>
      </w:r>
    </w:p>
    <w:p w14:paraId="3018A2CE" w14:textId="77777777" w:rsidR="004E2F0E" w:rsidRDefault="004E2F0E" w:rsidP="00945EA5">
      <w:pPr>
        <w:jc w:val="both"/>
      </w:pPr>
    </w:p>
    <w:p w14:paraId="68A7A445" w14:textId="5F04E43F" w:rsidR="00C67805" w:rsidRDefault="00AC2C30" w:rsidP="00945EA5">
      <w:pPr>
        <w:jc w:val="both"/>
      </w:pPr>
      <w:r>
        <w:tab/>
        <w:t>ist sich bewusst, dass Gewalt und Belästigung in der Arbeitswelt die psychische, physische und sexuelle Gesundheit einer Person, ihre Würde sowie ihr familiäres und soziales Umfeld beeinträchtigen,</w:t>
      </w:r>
    </w:p>
    <w:p w14:paraId="7A0435E6" w14:textId="77777777" w:rsidR="004E2F0E" w:rsidRDefault="004E2F0E" w:rsidP="00945EA5">
      <w:pPr>
        <w:jc w:val="both"/>
      </w:pPr>
    </w:p>
    <w:p w14:paraId="3E386A67" w14:textId="59B51FA0" w:rsidR="00C67805" w:rsidRDefault="00AC2C30" w:rsidP="00945EA5">
      <w:pPr>
        <w:jc w:val="both"/>
      </w:pPr>
      <w:r>
        <w:tab/>
        <w:t>erkennt an, dass Gewalt und Belästigung auch die Qualität öffentlicher und privater Dienstleistungen beeinträchtigen und Personen, insbesondere Frauen, daran hindern können, in den Arbeitsmarkt einzusteigen, erwerbstätig zu bleiben und beruflich voranzukommen,</w:t>
      </w:r>
    </w:p>
    <w:p w14:paraId="38909C8A" w14:textId="77777777" w:rsidR="004E2F0E" w:rsidRDefault="004E2F0E" w:rsidP="00945EA5">
      <w:pPr>
        <w:jc w:val="both"/>
      </w:pPr>
    </w:p>
    <w:p w14:paraId="328C77CF" w14:textId="148B15B1" w:rsidR="00C67805" w:rsidRDefault="00AC2C30" w:rsidP="00945EA5">
      <w:pPr>
        <w:jc w:val="both"/>
      </w:pPr>
      <w:r>
        <w:tab/>
        <w:t>stellt fest, dass Gewalt und Belästigung mit der Förderung nachhaltiger Unternehmen unvereinbar sind und sich negativ auf die Organisation von Arbeit, die Arbeitsbeziehungen, das Engagement der Arbeitnehmer, den Ruf von Unternehmen und die Produktivität auswirken,</w:t>
      </w:r>
    </w:p>
    <w:p w14:paraId="3F0FAAF3" w14:textId="77777777" w:rsidR="004E2F0E" w:rsidRDefault="004E2F0E" w:rsidP="00945EA5">
      <w:pPr>
        <w:jc w:val="both"/>
      </w:pPr>
    </w:p>
    <w:p w14:paraId="1F2B0807" w14:textId="36CBF59A" w:rsidR="00C67805" w:rsidRDefault="00AC2C30" w:rsidP="00945EA5">
      <w:pPr>
        <w:jc w:val="both"/>
      </w:pPr>
      <w:r>
        <w:tab/>
        <w:t>ist sich bewusst, dass Frauen und Mädchen unverhältnismäßig stark von genderspezifischer Gewalt und Belästigung betroffen sind, und erkennt an, dass ein inklusiver, integrierter und genderorientierter Ansatz, der die zugrundeliegenden Ursachen und Risikofaktoren angeht, einschließlich Genderstereotypen, mehrfache und sich überschneidende Formen von Diskriminierung und ungleiche genderbasierte Machtverhältnisse, für eine Beendigung von Gewalt und Belästigung in der Arbeitswelt unerlässlich ist,</w:t>
      </w:r>
    </w:p>
    <w:p w14:paraId="72D1D8A1" w14:textId="77777777" w:rsidR="004E2F0E" w:rsidRDefault="004E2F0E" w:rsidP="00945EA5">
      <w:pPr>
        <w:jc w:val="both"/>
      </w:pPr>
    </w:p>
    <w:p w14:paraId="33196187" w14:textId="4999E7AA" w:rsidR="00C67805" w:rsidRDefault="00AC2C30" w:rsidP="00945EA5">
      <w:pPr>
        <w:jc w:val="both"/>
      </w:pPr>
      <w:r>
        <w:tab/>
        <w:t>stellt fest, dass häusliche Gewalt Auswirkungen auf die Beschäftigung, die Produktivität und die Gesundheit und Sicherheit haben kann und dass die Regierungen, Arbeitgeber- und Arbeitnehmerverbände und Arbeitsmarktinstitutionen im Rahmen anderer Maßnahmen dazu beitragen können, die Auswirkungen häuslicher Gewalt anzuerkennen, darauf zu reagieren und dagegen vorzugehen,</w:t>
      </w:r>
    </w:p>
    <w:p w14:paraId="6D96E34C" w14:textId="77777777" w:rsidR="004E2F0E" w:rsidRDefault="004E2F0E" w:rsidP="00945EA5">
      <w:pPr>
        <w:jc w:val="both"/>
      </w:pPr>
    </w:p>
    <w:p w14:paraId="7FCF423D" w14:textId="305952FB" w:rsidR="00C67805" w:rsidRDefault="00AC2C30" w:rsidP="00945EA5">
      <w:pPr>
        <w:jc w:val="both"/>
      </w:pPr>
      <w:r>
        <w:tab/>
        <w:t>hat beschlossen, verschiedene Anträge betreffend Gewalt und Belästigung in der Arbeitswelt anzunehmen, eine Frage, die den fünften Gegenstand ihrer Tagesordnung bildet, und</w:t>
      </w:r>
    </w:p>
    <w:p w14:paraId="74B19B27" w14:textId="77777777" w:rsidR="004E2F0E" w:rsidRDefault="004E2F0E" w:rsidP="00945EA5">
      <w:pPr>
        <w:jc w:val="both"/>
      </w:pPr>
    </w:p>
    <w:p w14:paraId="0DA126EC" w14:textId="6DD12213" w:rsidR="00945EA5" w:rsidRDefault="00AC2C30" w:rsidP="00945EA5">
      <w:pPr>
        <w:jc w:val="both"/>
      </w:pPr>
      <w:r>
        <w:tab/>
        <w:t>dabei bestimmt, dass diese Anträge die Form eines internationalen Übereinkommens erhalten sollen.</w:t>
      </w:r>
    </w:p>
    <w:p w14:paraId="27F02666" w14:textId="77777777" w:rsidR="00945EA5" w:rsidRDefault="00945EA5" w:rsidP="00945EA5">
      <w:pPr>
        <w:jc w:val="both"/>
      </w:pPr>
    </w:p>
    <w:p w14:paraId="4B9ECD87" w14:textId="6106FA74" w:rsidR="00C67805" w:rsidRDefault="00AC2C30" w:rsidP="00945EA5">
      <w:pPr>
        <w:jc w:val="both"/>
      </w:pPr>
      <w:r>
        <w:tab/>
        <w:t>Die Konferenz nimmt heute, am 21.</w:t>
      </w:r>
      <w:r w:rsidR="00C34D83">
        <w:t> </w:t>
      </w:r>
      <w:r>
        <w:t>Juni</w:t>
      </w:r>
      <w:r w:rsidR="00C34D83">
        <w:t> </w:t>
      </w:r>
      <w:r>
        <w:t>2019, das folgende Übereinkommen an, das als Übereinkommen über Gewalt und Belästigung, 2019, bezeichnet wird.</w:t>
      </w:r>
    </w:p>
    <w:p w14:paraId="6A24340A" w14:textId="77777777" w:rsidR="004E2F0E" w:rsidRDefault="004E2F0E" w:rsidP="00945EA5">
      <w:pPr>
        <w:jc w:val="both"/>
      </w:pPr>
    </w:p>
    <w:p w14:paraId="49B42CCA" w14:textId="77777777" w:rsidR="00945EA5" w:rsidRDefault="00945EA5" w:rsidP="00945EA5">
      <w:pPr>
        <w:jc w:val="both"/>
      </w:pPr>
    </w:p>
    <w:p w14:paraId="5242974E" w14:textId="77777777" w:rsidR="00AC3CA8" w:rsidRDefault="00AC3CA8">
      <w:pPr>
        <w:rPr>
          <w:b/>
        </w:rPr>
      </w:pPr>
      <w:r>
        <w:rPr>
          <w:b/>
        </w:rPr>
        <w:br w:type="page"/>
      </w:r>
    </w:p>
    <w:p w14:paraId="7DFFBF22" w14:textId="667C868C" w:rsidR="00C67805" w:rsidRPr="00945EA5" w:rsidRDefault="00C67805" w:rsidP="00AC2C30">
      <w:pPr>
        <w:jc w:val="center"/>
        <w:rPr>
          <w:b/>
          <w:bCs/>
        </w:rPr>
      </w:pPr>
      <w:r>
        <w:rPr>
          <w:b/>
        </w:rPr>
        <w:lastRenderedPageBreak/>
        <w:t>I. Begriffsbestimmungen</w:t>
      </w:r>
    </w:p>
    <w:p w14:paraId="71025298" w14:textId="77777777" w:rsidR="004E2F0E" w:rsidRDefault="004E2F0E" w:rsidP="00945EA5">
      <w:pPr>
        <w:jc w:val="both"/>
      </w:pPr>
    </w:p>
    <w:p w14:paraId="7138784D" w14:textId="77777777" w:rsidR="00945EA5" w:rsidRDefault="00945EA5" w:rsidP="00945EA5">
      <w:pPr>
        <w:jc w:val="both"/>
      </w:pPr>
    </w:p>
    <w:p w14:paraId="57546C0B" w14:textId="18E17926" w:rsidR="00C67805" w:rsidRPr="00945EA5" w:rsidRDefault="00C67805" w:rsidP="00945EA5">
      <w:pPr>
        <w:jc w:val="center"/>
        <w:rPr>
          <w:b/>
          <w:bCs/>
        </w:rPr>
      </w:pPr>
      <w:r>
        <w:rPr>
          <w:b/>
        </w:rPr>
        <w:t>Artikel 1</w:t>
      </w:r>
    </w:p>
    <w:p w14:paraId="6672C903" w14:textId="77777777" w:rsidR="004E2F0E" w:rsidRDefault="004E2F0E" w:rsidP="00945EA5">
      <w:pPr>
        <w:jc w:val="both"/>
      </w:pPr>
    </w:p>
    <w:p w14:paraId="339EDE95" w14:textId="77777777" w:rsidR="00945EA5" w:rsidRDefault="00945EA5" w:rsidP="00945EA5">
      <w:pPr>
        <w:jc w:val="both"/>
      </w:pPr>
    </w:p>
    <w:p w14:paraId="5CC1C307" w14:textId="70CDD696" w:rsidR="00C67805" w:rsidRDefault="00945EA5" w:rsidP="00945EA5">
      <w:pPr>
        <w:jc w:val="both"/>
      </w:pPr>
      <w:r>
        <w:tab/>
        <w:t xml:space="preserve">1. Im Sinne dieses Übereinkommens: </w:t>
      </w:r>
    </w:p>
    <w:p w14:paraId="0B75B7E2" w14:textId="77777777" w:rsidR="004E2F0E" w:rsidRDefault="004E2F0E" w:rsidP="00945EA5">
      <w:pPr>
        <w:jc w:val="both"/>
      </w:pPr>
    </w:p>
    <w:p w14:paraId="5E90F9BD" w14:textId="23AE3E3E" w:rsidR="00C67805" w:rsidRDefault="00945EA5" w:rsidP="00945EA5">
      <w:pPr>
        <w:jc w:val="both"/>
      </w:pPr>
      <w:r>
        <w:rPr>
          <w:i/>
        </w:rPr>
        <w:tab/>
      </w:r>
      <w:r>
        <w:rPr>
          <w:i/>
          <w:iCs/>
        </w:rPr>
        <w:t>a)</w:t>
      </w:r>
      <w:r>
        <w:t xml:space="preserve"> bezieht sich der Begriff "Gewalt und Belästigung" in der Arbeitswelt auf eine Bandbreite von inakzeptablen Verhaltensweisen und Praktiken oder deren Androhung, gleich ob es sich um ein einmaliges oder ein wiederholtes Vorkommnis handelt, die auf physischen, psychischen, sexuellen oder wirtschaftlichen Schaden abzielen, diesen zur Folge haben oder wahrscheinlich zur Folge haben, und umfasst auch genderspezifische Gewalt und Belästigung,</w:t>
      </w:r>
    </w:p>
    <w:p w14:paraId="11FE73B4" w14:textId="77777777" w:rsidR="004E2F0E" w:rsidRDefault="004E2F0E" w:rsidP="00945EA5">
      <w:pPr>
        <w:jc w:val="both"/>
      </w:pPr>
    </w:p>
    <w:p w14:paraId="1FDFDE4E" w14:textId="6E968CD7" w:rsidR="00C67805" w:rsidRDefault="00945EA5" w:rsidP="00945EA5">
      <w:pPr>
        <w:jc w:val="both"/>
      </w:pPr>
      <w:r>
        <w:rPr>
          <w:i/>
        </w:rPr>
        <w:tab/>
      </w:r>
      <w:r>
        <w:rPr>
          <w:i/>
          <w:iCs/>
        </w:rPr>
        <w:t>b)</w:t>
      </w:r>
      <w:r>
        <w:t xml:space="preserve"> bedeutet der Begriff "genderspezifische Gewalt und Belästigung" Gewalt und Belästigung, die gegen Personen aufgrund ihres Geschlechts oder ihres Genders gerichtet sind oder von denen Personen eines bestimmten Geschlechts oder Genders unverhältnismäßig stark betroffen sind, und umfasst auch sexuelle Belästigung.</w:t>
      </w:r>
    </w:p>
    <w:p w14:paraId="731AE35B" w14:textId="77777777" w:rsidR="004E2F0E" w:rsidRDefault="004E2F0E" w:rsidP="00945EA5">
      <w:pPr>
        <w:jc w:val="both"/>
      </w:pPr>
    </w:p>
    <w:p w14:paraId="0A932FF7" w14:textId="20A5F66A" w:rsidR="00C67805" w:rsidRDefault="00945EA5" w:rsidP="00945EA5">
      <w:pPr>
        <w:jc w:val="both"/>
      </w:pPr>
      <w:r>
        <w:tab/>
        <w:t xml:space="preserve">2. Unbeschadet von Absatz 1 Buchstabe </w:t>
      </w:r>
      <w:r>
        <w:rPr>
          <w:i/>
          <w:iCs/>
        </w:rPr>
        <w:t>a)</w:t>
      </w:r>
      <w:r>
        <w:t xml:space="preserve"> und </w:t>
      </w:r>
      <w:r>
        <w:rPr>
          <w:i/>
          <w:iCs/>
        </w:rPr>
        <w:t>b)</w:t>
      </w:r>
      <w:r>
        <w:t xml:space="preserve"> dieses Artikels können die Begriffe in den innerstaatlichen Rechtsvorschriften nach einem einheitlichen Konzept oder getrennt definiert werden.</w:t>
      </w:r>
    </w:p>
    <w:p w14:paraId="4E085709" w14:textId="77777777" w:rsidR="004E2F0E" w:rsidRDefault="004E2F0E" w:rsidP="00945EA5">
      <w:pPr>
        <w:jc w:val="both"/>
      </w:pPr>
    </w:p>
    <w:p w14:paraId="676AC786" w14:textId="77777777" w:rsidR="00945EA5" w:rsidRDefault="00945EA5" w:rsidP="00945EA5">
      <w:pPr>
        <w:jc w:val="both"/>
      </w:pPr>
    </w:p>
    <w:p w14:paraId="4BA3D9DE" w14:textId="77777777" w:rsidR="00C67805" w:rsidRPr="00945EA5" w:rsidRDefault="00C67805" w:rsidP="00945EA5">
      <w:pPr>
        <w:jc w:val="center"/>
        <w:rPr>
          <w:b/>
          <w:bCs/>
        </w:rPr>
      </w:pPr>
      <w:r>
        <w:rPr>
          <w:b/>
        </w:rPr>
        <w:t>II. Geltungsbereich</w:t>
      </w:r>
    </w:p>
    <w:p w14:paraId="60C69784" w14:textId="77777777" w:rsidR="004E2F0E" w:rsidRDefault="004E2F0E" w:rsidP="00945EA5">
      <w:pPr>
        <w:jc w:val="both"/>
      </w:pPr>
    </w:p>
    <w:p w14:paraId="5EC6FFF7" w14:textId="77777777" w:rsidR="00945EA5" w:rsidRDefault="00945EA5" w:rsidP="00945EA5">
      <w:pPr>
        <w:jc w:val="both"/>
      </w:pPr>
    </w:p>
    <w:p w14:paraId="67E9E9E5" w14:textId="3F4D08D9" w:rsidR="00C67805" w:rsidRPr="00945EA5" w:rsidRDefault="00C67805" w:rsidP="00945EA5">
      <w:pPr>
        <w:jc w:val="center"/>
        <w:rPr>
          <w:b/>
          <w:bCs/>
        </w:rPr>
      </w:pPr>
      <w:r>
        <w:rPr>
          <w:b/>
        </w:rPr>
        <w:t>Artikel 2</w:t>
      </w:r>
    </w:p>
    <w:p w14:paraId="10A3C5CD" w14:textId="77777777" w:rsidR="004E2F0E" w:rsidRDefault="004E2F0E" w:rsidP="00945EA5">
      <w:pPr>
        <w:jc w:val="both"/>
      </w:pPr>
    </w:p>
    <w:p w14:paraId="783EB654" w14:textId="77777777" w:rsidR="00945EA5" w:rsidRDefault="00945EA5" w:rsidP="00945EA5">
      <w:pPr>
        <w:jc w:val="both"/>
      </w:pPr>
    </w:p>
    <w:p w14:paraId="61434F51" w14:textId="4B24BFF1" w:rsidR="00C67805" w:rsidRDefault="00945EA5" w:rsidP="00945EA5">
      <w:pPr>
        <w:jc w:val="both"/>
      </w:pPr>
      <w:r>
        <w:tab/>
        <w:t>1. Dieses Übereinkommen schützt Arbeitnehmer sowie andere Personen in der Arbeitswelt, darunter Lohnempfänger im Sinne der innerstaatlichen Rechtsvorschriften und Praxis, sowie erwerbstätige Personen ungeachtet ihres Vertragsstatus, in Ausbildung befindliche Personen, einschließlich Praktikanten und Lehrlinge, Arbeitnehmer, deren Arbeitsverhältnis beendet wurde, Freiwillige, Arbeitsuchende und Stellenbewerber sowie natürliche Personen, die die Befugnisse, Pflichten oder Verantwortlichkeiten eines Arbeitgebers ausüben.</w:t>
      </w:r>
    </w:p>
    <w:p w14:paraId="067A6A1F" w14:textId="77777777" w:rsidR="004E2F0E" w:rsidRDefault="004E2F0E" w:rsidP="00945EA5">
      <w:pPr>
        <w:jc w:val="both"/>
      </w:pPr>
    </w:p>
    <w:p w14:paraId="1FBF1A47" w14:textId="432F4CAE" w:rsidR="00C67805" w:rsidRDefault="00945EA5" w:rsidP="00945EA5">
      <w:pPr>
        <w:jc w:val="both"/>
      </w:pPr>
      <w:r>
        <w:tab/>
        <w:t>2. Dieses Übereinkommen gilt für alle Sektoren, gleich ob privat oder öffentlich, sowohl in der formellen als auch in der informellen Wirtschaft, und gleich ob in städtischen oder ländlichen Gebieten.</w:t>
      </w:r>
    </w:p>
    <w:p w14:paraId="387720C1" w14:textId="77777777" w:rsidR="004E2F0E" w:rsidRDefault="004E2F0E" w:rsidP="00945EA5">
      <w:pPr>
        <w:jc w:val="both"/>
      </w:pPr>
    </w:p>
    <w:p w14:paraId="31AA07AB" w14:textId="77777777" w:rsidR="00AC3CA8" w:rsidRDefault="00AC3CA8">
      <w:pPr>
        <w:rPr>
          <w:b/>
        </w:rPr>
      </w:pPr>
      <w:r>
        <w:rPr>
          <w:b/>
        </w:rPr>
        <w:br w:type="page"/>
      </w:r>
    </w:p>
    <w:p w14:paraId="015FD137" w14:textId="78F387B4" w:rsidR="00C67805" w:rsidRPr="00945EA5" w:rsidRDefault="00C67805" w:rsidP="00945EA5">
      <w:pPr>
        <w:jc w:val="center"/>
        <w:rPr>
          <w:b/>
          <w:bCs/>
        </w:rPr>
      </w:pPr>
      <w:r>
        <w:rPr>
          <w:b/>
        </w:rPr>
        <w:lastRenderedPageBreak/>
        <w:t>Artikel 3</w:t>
      </w:r>
    </w:p>
    <w:p w14:paraId="535703BC" w14:textId="77777777" w:rsidR="004E2F0E" w:rsidRDefault="004E2F0E" w:rsidP="00945EA5">
      <w:pPr>
        <w:jc w:val="both"/>
      </w:pPr>
    </w:p>
    <w:p w14:paraId="00822ED0" w14:textId="77777777" w:rsidR="00945EA5" w:rsidRDefault="00945EA5" w:rsidP="00945EA5">
      <w:pPr>
        <w:jc w:val="both"/>
      </w:pPr>
    </w:p>
    <w:p w14:paraId="4CF35C5B" w14:textId="481A3845" w:rsidR="00C67805" w:rsidRDefault="00945EA5" w:rsidP="00945EA5">
      <w:pPr>
        <w:jc w:val="both"/>
      </w:pPr>
      <w:r>
        <w:tab/>
        <w:t>Dieses Übereinkommen gilt für Gewalt und Belästigung in der Arbeitswelt, die während, im Zusammenhang mit oder infolge der Arbeit auftreten:</w:t>
      </w:r>
    </w:p>
    <w:p w14:paraId="0106DCB9" w14:textId="77777777" w:rsidR="004E2F0E" w:rsidRDefault="004E2F0E" w:rsidP="00945EA5">
      <w:pPr>
        <w:jc w:val="both"/>
      </w:pPr>
    </w:p>
    <w:p w14:paraId="40064C5F" w14:textId="30ED8C6E" w:rsidR="00C67805" w:rsidRDefault="00945EA5" w:rsidP="00945EA5">
      <w:pPr>
        <w:jc w:val="both"/>
      </w:pPr>
      <w:r>
        <w:tab/>
      </w:r>
      <w:r>
        <w:rPr>
          <w:i/>
          <w:iCs/>
        </w:rPr>
        <w:t>a)</w:t>
      </w:r>
      <w:r>
        <w:t xml:space="preserve"> in der Arbeitsstätte, einschließlich öffentlicher und privater Räume, bei denen es sich um einen Arbeitsplatz handelt,</w:t>
      </w:r>
    </w:p>
    <w:p w14:paraId="112B2CF4" w14:textId="77777777" w:rsidR="004E2F0E" w:rsidRDefault="004E2F0E" w:rsidP="00945EA5">
      <w:pPr>
        <w:jc w:val="both"/>
      </w:pPr>
    </w:p>
    <w:p w14:paraId="12F0DA3A" w14:textId="243117E0" w:rsidR="00C67805" w:rsidRDefault="00945EA5" w:rsidP="00945EA5">
      <w:pPr>
        <w:jc w:val="both"/>
      </w:pPr>
      <w:r>
        <w:rPr>
          <w:i/>
        </w:rPr>
        <w:tab/>
      </w:r>
      <w:r>
        <w:rPr>
          <w:i/>
          <w:iCs/>
        </w:rPr>
        <w:t>b)</w:t>
      </w:r>
      <w:r>
        <w:t xml:space="preserve"> an Orten, wo der Arbeitnehmer bezahlt wird, eine Ruhepause einlegt oder eine Mahlzeit einnimmt oder sanitäre Einrichtungen, Waschgelegenheiten und Umkleideeinrichtungen benutzt,</w:t>
      </w:r>
    </w:p>
    <w:p w14:paraId="05A6A7A1" w14:textId="77777777" w:rsidR="004E2F0E" w:rsidRDefault="004E2F0E" w:rsidP="00945EA5">
      <w:pPr>
        <w:jc w:val="both"/>
      </w:pPr>
    </w:p>
    <w:p w14:paraId="51D8BF9F" w14:textId="0A6DC3E5" w:rsidR="00C67805" w:rsidRDefault="00945EA5" w:rsidP="00945EA5">
      <w:pPr>
        <w:jc w:val="both"/>
      </w:pPr>
      <w:r>
        <w:rPr>
          <w:i/>
        </w:rPr>
        <w:tab/>
      </w:r>
      <w:r>
        <w:rPr>
          <w:i/>
          <w:iCs/>
        </w:rPr>
        <w:t>c)</w:t>
      </w:r>
      <w:r>
        <w:t xml:space="preserve"> während arbeitsbezogener Fahrten, Reisen, Ausbildungen, Veranstaltungen oder gesellschaftlicher Aktivitäten,</w:t>
      </w:r>
    </w:p>
    <w:p w14:paraId="7BE12A38" w14:textId="77777777" w:rsidR="004E2F0E" w:rsidRDefault="004E2F0E" w:rsidP="00945EA5">
      <w:pPr>
        <w:jc w:val="both"/>
      </w:pPr>
    </w:p>
    <w:p w14:paraId="5B3B17A3" w14:textId="3000E1AA" w:rsidR="00C67805" w:rsidRDefault="00945EA5" w:rsidP="00945EA5">
      <w:pPr>
        <w:jc w:val="both"/>
      </w:pPr>
      <w:r>
        <w:tab/>
      </w:r>
      <w:r>
        <w:rPr>
          <w:i/>
          <w:iCs/>
        </w:rPr>
        <w:t>d)</w:t>
      </w:r>
      <w:r>
        <w:t xml:space="preserve"> im Zuge arbeitsbezogener Kommunikation, einschließlich derjenigen, die durch Informations- und Kommunikationstechnologien ermöglicht wird,</w:t>
      </w:r>
    </w:p>
    <w:p w14:paraId="4A29C82E" w14:textId="77777777" w:rsidR="004E2F0E" w:rsidRDefault="004E2F0E" w:rsidP="00945EA5">
      <w:pPr>
        <w:jc w:val="both"/>
      </w:pPr>
    </w:p>
    <w:p w14:paraId="0506B47D" w14:textId="2CDDF673" w:rsidR="00C67805" w:rsidRDefault="00945EA5" w:rsidP="00945EA5">
      <w:pPr>
        <w:jc w:val="both"/>
      </w:pPr>
      <w:r>
        <w:tab/>
      </w:r>
      <w:r>
        <w:rPr>
          <w:i/>
          <w:iCs/>
        </w:rPr>
        <w:t>e)</w:t>
      </w:r>
      <w:r>
        <w:t xml:space="preserve"> in vom Arbeitgeber bereitgestellten Unterkünften,</w:t>
      </w:r>
    </w:p>
    <w:p w14:paraId="2BA75902" w14:textId="77777777" w:rsidR="004E2F0E" w:rsidRDefault="004E2F0E" w:rsidP="00945EA5">
      <w:pPr>
        <w:jc w:val="both"/>
      </w:pPr>
    </w:p>
    <w:p w14:paraId="53C9E0F8" w14:textId="5A445C63" w:rsidR="00C67805" w:rsidRDefault="00945EA5" w:rsidP="00945EA5">
      <w:pPr>
        <w:jc w:val="both"/>
      </w:pPr>
      <w:r>
        <w:tab/>
      </w:r>
      <w:r>
        <w:rPr>
          <w:i/>
          <w:iCs/>
        </w:rPr>
        <w:t>f)</w:t>
      </w:r>
      <w:r>
        <w:t xml:space="preserve"> auf dem Weg zur und von der Arbeit.</w:t>
      </w:r>
    </w:p>
    <w:p w14:paraId="185B62D6" w14:textId="77777777" w:rsidR="004E2F0E" w:rsidRDefault="004E2F0E" w:rsidP="00945EA5">
      <w:pPr>
        <w:jc w:val="both"/>
      </w:pPr>
    </w:p>
    <w:p w14:paraId="0E8CBFD4" w14:textId="77777777" w:rsidR="00945EA5" w:rsidRDefault="00945EA5" w:rsidP="00945EA5">
      <w:pPr>
        <w:jc w:val="both"/>
      </w:pPr>
    </w:p>
    <w:p w14:paraId="02C867D5" w14:textId="0B992E2A" w:rsidR="00C67805" w:rsidRPr="00945EA5" w:rsidRDefault="00C67805" w:rsidP="00945EA5">
      <w:pPr>
        <w:jc w:val="center"/>
        <w:rPr>
          <w:b/>
          <w:bCs/>
        </w:rPr>
      </w:pPr>
      <w:r>
        <w:rPr>
          <w:b/>
        </w:rPr>
        <w:t>III. Zentrale Grundsätze</w:t>
      </w:r>
    </w:p>
    <w:p w14:paraId="559F4E48" w14:textId="77777777" w:rsidR="004E2F0E" w:rsidRDefault="004E2F0E" w:rsidP="00AC2C30">
      <w:pPr>
        <w:jc w:val="both"/>
      </w:pPr>
    </w:p>
    <w:p w14:paraId="68B6784D" w14:textId="77777777" w:rsidR="00945EA5" w:rsidRDefault="00945EA5" w:rsidP="00AC2C30">
      <w:pPr>
        <w:jc w:val="both"/>
      </w:pPr>
    </w:p>
    <w:p w14:paraId="5D4412C5" w14:textId="086802CC" w:rsidR="00C67805" w:rsidRPr="00945EA5" w:rsidRDefault="00C67805" w:rsidP="00945EA5">
      <w:pPr>
        <w:jc w:val="center"/>
        <w:rPr>
          <w:b/>
          <w:bCs/>
        </w:rPr>
      </w:pPr>
      <w:r>
        <w:rPr>
          <w:b/>
        </w:rPr>
        <w:t>Artikel 4</w:t>
      </w:r>
    </w:p>
    <w:p w14:paraId="7E0FD885" w14:textId="77777777" w:rsidR="004E2F0E" w:rsidRDefault="004E2F0E" w:rsidP="00945EA5">
      <w:pPr>
        <w:jc w:val="both"/>
      </w:pPr>
    </w:p>
    <w:p w14:paraId="4873E83C" w14:textId="77777777" w:rsidR="00AC2C30" w:rsidRDefault="00AC2C30" w:rsidP="00945EA5">
      <w:pPr>
        <w:jc w:val="both"/>
      </w:pPr>
    </w:p>
    <w:p w14:paraId="167D30DF" w14:textId="19400535" w:rsidR="00C67805" w:rsidRDefault="00945EA5" w:rsidP="00945EA5">
      <w:pPr>
        <w:jc w:val="both"/>
      </w:pPr>
      <w:r>
        <w:tab/>
        <w:t>1. Jedes Mitglied, das dieses Übereinkommen ratifiziert, achtet, fördert und verwirklicht das Recht einer jeder Person auf eine Arbeitswelt ohne Gewalt und Belästigung.</w:t>
      </w:r>
    </w:p>
    <w:p w14:paraId="571F78A2" w14:textId="77777777" w:rsidR="004E2F0E" w:rsidRDefault="004E2F0E" w:rsidP="00945EA5">
      <w:pPr>
        <w:jc w:val="both"/>
      </w:pPr>
    </w:p>
    <w:p w14:paraId="62FB980A" w14:textId="48148577" w:rsidR="00C67805" w:rsidRDefault="00945EA5" w:rsidP="00945EA5">
      <w:pPr>
        <w:jc w:val="both"/>
      </w:pPr>
      <w:r>
        <w:tab/>
        <w:t>2. Jedes Mitglied nimmt im Einklang mit den innerstaatlichen Rechtsvorschriften und Gegebenheiten und in Beratung mit den repräsentativen Arbeitgeber- und Arbeitnehmerverbänden einen inklusiven, integrierten und genderorientierten Ansatz zur Verhinderung und Beseitigung von Gewalt und Belästigung in der Arbeitswelt an. Ein solcher Ansatz sollte, gegebenenfalls, Gewalt und Belästigung, bei der Dritte beteiligt sind, berücksichtigen, und umfasst:</w:t>
      </w:r>
    </w:p>
    <w:p w14:paraId="39D8B7AC" w14:textId="77777777" w:rsidR="004E2F0E" w:rsidRDefault="004E2F0E" w:rsidP="00945EA5">
      <w:pPr>
        <w:jc w:val="both"/>
      </w:pPr>
    </w:p>
    <w:p w14:paraId="6904AC72" w14:textId="5650FD72" w:rsidR="00C67805" w:rsidRDefault="00945EA5" w:rsidP="00945EA5">
      <w:pPr>
        <w:jc w:val="both"/>
      </w:pPr>
      <w:r>
        <w:tab/>
      </w:r>
      <w:r>
        <w:rPr>
          <w:i/>
          <w:iCs/>
        </w:rPr>
        <w:t>a)</w:t>
      </w:r>
      <w:r>
        <w:t xml:space="preserve"> ein gesetzliches Verbot von Gewalt und Belästigung</w:t>
      </w:r>
      <w:r>
        <w:rPr>
          <w:i/>
        </w:rPr>
        <w:t>,</w:t>
      </w:r>
    </w:p>
    <w:p w14:paraId="26F8F2C4" w14:textId="77777777" w:rsidR="004E2F0E" w:rsidRDefault="004E2F0E" w:rsidP="00945EA5">
      <w:pPr>
        <w:jc w:val="both"/>
      </w:pPr>
    </w:p>
    <w:p w14:paraId="231D0285" w14:textId="22B7DE51" w:rsidR="00C67805" w:rsidRDefault="00945EA5" w:rsidP="00945EA5">
      <w:pPr>
        <w:jc w:val="both"/>
      </w:pPr>
      <w:r>
        <w:tab/>
      </w:r>
      <w:r>
        <w:rPr>
          <w:i/>
          <w:iCs/>
        </w:rPr>
        <w:t>b)</w:t>
      </w:r>
      <w:r>
        <w:t xml:space="preserve"> die Sicherstellung, dass einschlägige Politiken Gewalt und Belästigung angehen,</w:t>
      </w:r>
    </w:p>
    <w:p w14:paraId="7D844465" w14:textId="77777777" w:rsidR="004E2F0E" w:rsidRDefault="004E2F0E" w:rsidP="00945EA5">
      <w:pPr>
        <w:jc w:val="both"/>
      </w:pPr>
    </w:p>
    <w:p w14:paraId="3BCF14DF" w14:textId="02D89316" w:rsidR="00C67805" w:rsidRDefault="00945EA5" w:rsidP="00945EA5">
      <w:pPr>
        <w:jc w:val="both"/>
      </w:pPr>
      <w:r>
        <w:tab/>
      </w:r>
      <w:r>
        <w:rPr>
          <w:i/>
          <w:iCs/>
        </w:rPr>
        <w:t>c)</w:t>
      </w:r>
      <w:r>
        <w:t xml:space="preserve"> die Annahme einer umfassenden Strategie, um Maßnahmen zur Verhinderung und Bekämpfung von Gewalt und Belästigung umzusetzen,</w:t>
      </w:r>
    </w:p>
    <w:p w14:paraId="7E63B214" w14:textId="77777777" w:rsidR="004E2F0E" w:rsidRDefault="004E2F0E" w:rsidP="00945EA5">
      <w:pPr>
        <w:jc w:val="both"/>
      </w:pPr>
    </w:p>
    <w:p w14:paraId="5FD8800F" w14:textId="498F554F" w:rsidR="00C67805" w:rsidRDefault="00945EA5" w:rsidP="00945EA5">
      <w:pPr>
        <w:jc w:val="both"/>
      </w:pPr>
      <w:r>
        <w:tab/>
      </w:r>
      <w:r>
        <w:rPr>
          <w:i/>
          <w:iCs/>
        </w:rPr>
        <w:t>d)</w:t>
      </w:r>
      <w:r>
        <w:t xml:space="preserve"> die Einrichtung von oder Stärkung bestehender Durchsetzungs- und Überwachungsmechanismen,</w:t>
      </w:r>
    </w:p>
    <w:p w14:paraId="0B400496" w14:textId="77777777" w:rsidR="004E2F0E" w:rsidRDefault="004E2F0E" w:rsidP="00945EA5">
      <w:pPr>
        <w:jc w:val="both"/>
      </w:pPr>
    </w:p>
    <w:p w14:paraId="46EB84DA" w14:textId="1AC898E3" w:rsidR="00C67805" w:rsidRDefault="00945EA5" w:rsidP="00945EA5">
      <w:pPr>
        <w:jc w:val="both"/>
      </w:pPr>
      <w:r>
        <w:lastRenderedPageBreak/>
        <w:tab/>
      </w:r>
      <w:r>
        <w:rPr>
          <w:i/>
          <w:iCs/>
        </w:rPr>
        <w:t>e)</w:t>
      </w:r>
      <w:r>
        <w:t xml:space="preserve"> die Sicherstellung, dass Opfer Zugang zu Rechtsmitteln und zur Unterstützung haben,</w:t>
      </w:r>
    </w:p>
    <w:p w14:paraId="1611987A" w14:textId="77777777" w:rsidR="004E2F0E" w:rsidRDefault="004E2F0E" w:rsidP="00945EA5">
      <w:pPr>
        <w:jc w:val="both"/>
      </w:pPr>
    </w:p>
    <w:p w14:paraId="54548B17" w14:textId="1C9DF723" w:rsidR="00C67805" w:rsidRDefault="00945EA5" w:rsidP="00945EA5">
      <w:pPr>
        <w:jc w:val="both"/>
      </w:pPr>
      <w:r>
        <w:tab/>
      </w:r>
      <w:r>
        <w:rPr>
          <w:i/>
          <w:iCs/>
        </w:rPr>
        <w:t>f)</w:t>
      </w:r>
      <w:r>
        <w:t xml:space="preserve"> Sanktionen,</w:t>
      </w:r>
    </w:p>
    <w:p w14:paraId="47DF28F8" w14:textId="77777777" w:rsidR="004E2F0E" w:rsidRDefault="004E2F0E" w:rsidP="00945EA5">
      <w:pPr>
        <w:jc w:val="both"/>
      </w:pPr>
    </w:p>
    <w:p w14:paraId="43A521A5" w14:textId="731EB5CE" w:rsidR="00C67805" w:rsidRDefault="00945EA5" w:rsidP="00945EA5">
      <w:pPr>
        <w:jc w:val="both"/>
      </w:pPr>
      <w:r>
        <w:tab/>
      </w:r>
      <w:r>
        <w:rPr>
          <w:i/>
          <w:iCs/>
        </w:rPr>
        <w:t>g)</w:t>
      </w:r>
      <w:r>
        <w:t xml:space="preserve"> die Entwicklung von Instrumenten, Leitlinien sowie Bildungs- und Schulungsangeboten und Sensibilisierung, gegebenenfalls in zugänglichen Formaten,</w:t>
      </w:r>
    </w:p>
    <w:p w14:paraId="4FA13FF4" w14:textId="77777777" w:rsidR="004E2F0E" w:rsidRDefault="004E2F0E" w:rsidP="00945EA5">
      <w:pPr>
        <w:jc w:val="both"/>
      </w:pPr>
    </w:p>
    <w:p w14:paraId="76A00F58" w14:textId="7C319399" w:rsidR="00C67805" w:rsidRDefault="00945EA5" w:rsidP="00945EA5">
      <w:pPr>
        <w:jc w:val="both"/>
      </w:pPr>
      <w:r>
        <w:tab/>
      </w:r>
      <w:r>
        <w:rPr>
          <w:i/>
          <w:iCs/>
        </w:rPr>
        <w:t>h)</w:t>
      </w:r>
      <w:r>
        <w:t xml:space="preserve"> die Sicherstellung wirksamer Vorkehrungen für die Aufsicht und Untersuchung in Fällen von Gewalt und Belästigung, einschließlich durch Arbeitsaufsichtsbehörden oder andere zuständige Stellen.</w:t>
      </w:r>
    </w:p>
    <w:p w14:paraId="4D0DD694" w14:textId="77777777" w:rsidR="004E2F0E" w:rsidRDefault="004E2F0E" w:rsidP="00945EA5">
      <w:pPr>
        <w:jc w:val="both"/>
      </w:pPr>
    </w:p>
    <w:p w14:paraId="51860BC3" w14:textId="14F846DA" w:rsidR="00C67805" w:rsidRDefault="00945EA5" w:rsidP="00945EA5">
      <w:pPr>
        <w:jc w:val="both"/>
      </w:pPr>
      <w:r>
        <w:tab/>
        <w:t>3. Bei der Annahme und Umsetzung des in Absatz 2 dieses Artikels genannten Ansatzes erkennt jedes Mitglied die verschiedenen und komplementären Rollen und Aufgaben von Regierungen sowie von Arbeitgebern und Arbeitnehmern und ihren jeweiligen Verbänden an und trägt dabei dem unterschiedlichen Charakter und Ausmaß ihrer jeweiligen Verantwortlichkeiten Rechnung.</w:t>
      </w:r>
    </w:p>
    <w:p w14:paraId="6B3C972D" w14:textId="77777777" w:rsidR="004E2F0E" w:rsidRDefault="004E2F0E" w:rsidP="00945EA5">
      <w:pPr>
        <w:jc w:val="both"/>
      </w:pPr>
    </w:p>
    <w:p w14:paraId="333873E6" w14:textId="77777777" w:rsidR="00945EA5" w:rsidRDefault="00945EA5" w:rsidP="00945EA5">
      <w:pPr>
        <w:jc w:val="both"/>
      </w:pPr>
    </w:p>
    <w:p w14:paraId="1E7E21B7" w14:textId="10B6460E" w:rsidR="00C67805" w:rsidRPr="00945EA5" w:rsidRDefault="00C67805" w:rsidP="00945EA5">
      <w:pPr>
        <w:jc w:val="center"/>
        <w:rPr>
          <w:b/>
          <w:bCs/>
        </w:rPr>
      </w:pPr>
      <w:r>
        <w:rPr>
          <w:b/>
        </w:rPr>
        <w:t>Artikel 5</w:t>
      </w:r>
    </w:p>
    <w:p w14:paraId="72177B70" w14:textId="77777777" w:rsidR="004E2F0E" w:rsidRDefault="004E2F0E" w:rsidP="00945EA5">
      <w:pPr>
        <w:jc w:val="both"/>
      </w:pPr>
    </w:p>
    <w:p w14:paraId="313E3B5E" w14:textId="77777777" w:rsidR="00945EA5" w:rsidRDefault="00945EA5" w:rsidP="00945EA5">
      <w:pPr>
        <w:jc w:val="both"/>
      </w:pPr>
    </w:p>
    <w:p w14:paraId="28E33460" w14:textId="3BAA455A" w:rsidR="00C67805" w:rsidRDefault="00945EA5" w:rsidP="00945EA5">
      <w:pPr>
        <w:jc w:val="both"/>
      </w:pPr>
      <w:r>
        <w:tab/>
        <w:t>Im Hinblick auf die Verhinderung und Beseitigung von Gewalt und Belästigung in der Arbeitswelt achtet, fördert und verwirklicht jedes Mitglied die grundlegenden Prinzipien und Rechte bei der Arbeit, nämlich die Vereinigungsfreiheit und die effektive Anerkennung des Rechts zu Kollektivverhandlungen, die Beseitigung aller Formen von Zwangs- oder Pflichtarbeit, die effektive Abschaffung der Kinderarbeit und die Beseitigung der Diskriminierung in Beschäftigung und Beruf, und fördert menschenwürdige Arbeit.</w:t>
      </w:r>
    </w:p>
    <w:p w14:paraId="5AA3D581" w14:textId="77777777" w:rsidR="004E2F0E" w:rsidRDefault="004E2F0E" w:rsidP="00945EA5">
      <w:pPr>
        <w:jc w:val="both"/>
      </w:pPr>
    </w:p>
    <w:p w14:paraId="64C46831" w14:textId="77777777" w:rsidR="00945EA5" w:rsidRDefault="00945EA5" w:rsidP="00945EA5">
      <w:pPr>
        <w:jc w:val="both"/>
      </w:pPr>
    </w:p>
    <w:p w14:paraId="2F5D1C85" w14:textId="28573366" w:rsidR="00C67805" w:rsidRPr="00945EA5" w:rsidRDefault="00C67805" w:rsidP="00945EA5">
      <w:pPr>
        <w:jc w:val="center"/>
        <w:rPr>
          <w:b/>
          <w:bCs/>
        </w:rPr>
      </w:pPr>
      <w:r>
        <w:rPr>
          <w:b/>
        </w:rPr>
        <w:t>Artikel 6</w:t>
      </w:r>
    </w:p>
    <w:p w14:paraId="45A408AB" w14:textId="77777777" w:rsidR="004E2F0E" w:rsidRDefault="004E2F0E" w:rsidP="00945EA5">
      <w:pPr>
        <w:jc w:val="both"/>
      </w:pPr>
    </w:p>
    <w:p w14:paraId="3783D68D" w14:textId="77777777" w:rsidR="00945EA5" w:rsidRDefault="00945EA5" w:rsidP="00945EA5">
      <w:pPr>
        <w:jc w:val="both"/>
      </w:pPr>
    </w:p>
    <w:p w14:paraId="5D9C42D4" w14:textId="57CAB025" w:rsidR="00C67805" w:rsidRDefault="00945EA5" w:rsidP="00945EA5">
      <w:pPr>
        <w:jc w:val="both"/>
      </w:pPr>
      <w:r>
        <w:tab/>
        <w:t>Jedes Mitglied nimmt Rechtsvorschriften und Politiken an, die das Recht auf Gleichheit und Nichtdiskriminierung in Beschäftigung und Beruf gewährleisten, insbesondere für Arbeitnehmerinnen, ebenso wie für Arbeitnehmer und andere Personen, die einer oder mehreren schutzbedürftigen Gruppen oder Gruppen in schutzbedürftigem Zustand angehören, die unverhältnismäßig stark von Gewalt und Belästigung in der Arbeitswelt betroffen sind.</w:t>
      </w:r>
    </w:p>
    <w:p w14:paraId="465E8213" w14:textId="77777777" w:rsidR="004E2F0E" w:rsidRDefault="004E2F0E" w:rsidP="00945EA5">
      <w:pPr>
        <w:jc w:val="both"/>
      </w:pPr>
    </w:p>
    <w:p w14:paraId="0ED57173" w14:textId="77777777" w:rsidR="00945EA5" w:rsidRDefault="00945EA5" w:rsidP="00945EA5">
      <w:pPr>
        <w:jc w:val="both"/>
      </w:pPr>
    </w:p>
    <w:p w14:paraId="4EBCA046" w14:textId="499399E4" w:rsidR="00C67805" w:rsidRPr="00945EA5" w:rsidRDefault="00C67805" w:rsidP="00945EA5">
      <w:pPr>
        <w:jc w:val="center"/>
      </w:pPr>
      <w:r>
        <w:rPr>
          <w:b/>
        </w:rPr>
        <w:t>IV. Schutz und Prävention</w:t>
      </w:r>
    </w:p>
    <w:p w14:paraId="5BB34F62" w14:textId="77777777" w:rsidR="004E2F0E" w:rsidRDefault="004E2F0E" w:rsidP="00AC2C30">
      <w:pPr>
        <w:jc w:val="both"/>
      </w:pPr>
    </w:p>
    <w:p w14:paraId="7286B7D9" w14:textId="77777777" w:rsidR="00945EA5" w:rsidRDefault="00945EA5" w:rsidP="00AC2C30">
      <w:pPr>
        <w:jc w:val="both"/>
      </w:pPr>
    </w:p>
    <w:p w14:paraId="355D6E6E" w14:textId="23A6C881" w:rsidR="00C67805" w:rsidRPr="00945EA5" w:rsidRDefault="00C67805" w:rsidP="00945EA5">
      <w:pPr>
        <w:jc w:val="center"/>
        <w:rPr>
          <w:b/>
          <w:bCs/>
        </w:rPr>
      </w:pPr>
      <w:r>
        <w:rPr>
          <w:b/>
        </w:rPr>
        <w:t>Artikel 7</w:t>
      </w:r>
    </w:p>
    <w:p w14:paraId="6F921A60" w14:textId="77777777" w:rsidR="004E2F0E" w:rsidRDefault="004E2F0E" w:rsidP="00945EA5">
      <w:pPr>
        <w:jc w:val="both"/>
      </w:pPr>
    </w:p>
    <w:p w14:paraId="12563F70" w14:textId="77777777" w:rsidR="00945EA5" w:rsidRDefault="00945EA5" w:rsidP="00945EA5">
      <w:pPr>
        <w:jc w:val="both"/>
      </w:pPr>
    </w:p>
    <w:p w14:paraId="1F3D3500" w14:textId="11CC751F" w:rsidR="00C67805" w:rsidRDefault="00945EA5" w:rsidP="00945EA5">
      <w:pPr>
        <w:jc w:val="both"/>
      </w:pPr>
      <w:r>
        <w:tab/>
        <w:t>Unbeschadet von Artikel 1 und im Einklang damit nimmt jedes Mitglied Rechtsvorschriften zur Definition und zum Verbot von Gewalt und Belästigung in der Arbeitswelt, einschließlich genderspezifischer Gewalt und Belästigung, an.</w:t>
      </w:r>
    </w:p>
    <w:p w14:paraId="4EF3D444" w14:textId="77777777" w:rsidR="004E2F0E" w:rsidRDefault="004E2F0E" w:rsidP="00945EA5">
      <w:pPr>
        <w:jc w:val="both"/>
      </w:pPr>
    </w:p>
    <w:p w14:paraId="3A7A78D1" w14:textId="77777777" w:rsidR="00945EA5" w:rsidRDefault="00945EA5" w:rsidP="00945EA5">
      <w:pPr>
        <w:jc w:val="both"/>
      </w:pPr>
    </w:p>
    <w:p w14:paraId="0A270BA2" w14:textId="44450102" w:rsidR="00C67805" w:rsidRPr="00945EA5" w:rsidRDefault="00C67805" w:rsidP="00945EA5">
      <w:pPr>
        <w:jc w:val="center"/>
      </w:pPr>
      <w:r>
        <w:rPr>
          <w:b/>
        </w:rPr>
        <w:lastRenderedPageBreak/>
        <w:t>Artikel 8</w:t>
      </w:r>
    </w:p>
    <w:p w14:paraId="47F7F603" w14:textId="77777777" w:rsidR="004E2F0E" w:rsidRDefault="004E2F0E" w:rsidP="00945EA5">
      <w:pPr>
        <w:jc w:val="both"/>
      </w:pPr>
    </w:p>
    <w:p w14:paraId="62D424D8" w14:textId="77777777" w:rsidR="00945EA5" w:rsidRDefault="00945EA5" w:rsidP="00945EA5">
      <w:pPr>
        <w:jc w:val="both"/>
      </w:pPr>
    </w:p>
    <w:p w14:paraId="52E2F165" w14:textId="26448B0F" w:rsidR="00C67805" w:rsidRDefault="00945EA5" w:rsidP="00945EA5">
      <w:pPr>
        <w:jc w:val="both"/>
      </w:pPr>
      <w:r>
        <w:tab/>
        <w:t>Jedes Mitglied trifft geeignete Maßnahmen zur Verhinderung von Gewalt und Belästigung in der Arbeitswelt, indem es auch:</w:t>
      </w:r>
    </w:p>
    <w:p w14:paraId="68E8503A" w14:textId="77777777" w:rsidR="006F7B4A" w:rsidRDefault="006F7B4A" w:rsidP="00945EA5">
      <w:pPr>
        <w:jc w:val="both"/>
      </w:pPr>
    </w:p>
    <w:p w14:paraId="09F861C8" w14:textId="2E97966B" w:rsidR="00C67805" w:rsidRDefault="00945EA5" w:rsidP="00945EA5">
      <w:pPr>
        <w:jc w:val="both"/>
      </w:pPr>
      <w:r>
        <w:tab/>
      </w:r>
      <w:r>
        <w:rPr>
          <w:i/>
          <w:iCs/>
        </w:rPr>
        <w:t>a)</w:t>
      </w:r>
      <w:r>
        <w:t xml:space="preserve"> die wichtige Rolle der Behörden im Fall von Beschäftigten in der informellen Wirtschaft anerkennt,</w:t>
      </w:r>
    </w:p>
    <w:p w14:paraId="23EBEAF5" w14:textId="77777777" w:rsidR="006F7B4A" w:rsidRDefault="006F7B4A" w:rsidP="00945EA5">
      <w:pPr>
        <w:jc w:val="both"/>
      </w:pPr>
    </w:p>
    <w:p w14:paraId="674DAAF1" w14:textId="087243CB" w:rsidR="00C67805" w:rsidRDefault="00945EA5" w:rsidP="00945EA5">
      <w:pPr>
        <w:jc w:val="both"/>
      </w:pPr>
      <w:r>
        <w:tab/>
      </w:r>
      <w:r>
        <w:rPr>
          <w:i/>
          <w:iCs/>
        </w:rPr>
        <w:t>b)</w:t>
      </w:r>
      <w:r>
        <w:t xml:space="preserve"> in Beratung mit den betreffenden Arbeitgeber- und Arbeitnehmerverbänden und durch andere Mittel feststellt, in welchen Sektoren oder Berufen und Arbeitssituationen Arbeitnehmer und andere betroffene Personen Gewalt und Belästigung stärker ausgesetzt sind,</w:t>
      </w:r>
    </w:p>
    <w:p w14:paraId="481319D4" w14:textId="77777777" w:rsidR="006F7B4A" w:rsidRDefault="006F7B4A" w:rsidP="00945EA5">
      <w:pPr>
        <w:jc w:val="both"/>
      </w:pPr>
    </w:p>
    <w:p w14:paraId="32F66A86" w14:textId="229F69B6" w:rsidR="00C67805" w:rsidRDefault="00945EA5" w:rsidP="00945EA5">
      <w:pPr>
        <w:jc w:val="both"/>
      </w:pPr>
      <w:r>
        <w:tab/>
      </w:r>
      <w:r>
        <w:rPr>
          <w:i/>
          <w:iCs/>
        </w:rPr>
        <w:t>c)</w:t>
      </w:r>
      <w:r>
        <w:t xml:space="preserve"> Maßnahmen ergreift, um solche Personen wirksam zu schützen.</w:t>
      </w:r>
    </w:p>
    <w:p w14:paraId="0205D55F" w14:textId="77777777" w:rsidR="006F7B4A" w:rsidRDefault="006F7B4A" w:rsidP="00945EA5">
      <w:pPr>
        <w:jc w:val="both"/>
      </w:pPr>
    </w:p>
    <w:p w14:paraId="20E860E4" w14:textId="77777777" w:rsidR="00945EA5" w:rsidRDefault="00945EA5" w:rsidP="00945EA5">
      <w:pPr>
        <w:jc w:val="both"/>
      </w:pPr>
    </w:p>
    <w:p w14:paraId="38F68A2D" w14:textId="2A878A18" w:rsidR="00C67805" w:rsidRPr="00945EA5" w:rsidRDefault="00C67805" w:rsidP="00945EA5">
      <w:pPr>
        <w:jc w:val="center"/>
        <w:rPr>
          <w:b/>
          <w:bCs/>
        </w:rPr>
      </w:pPr>
      <w:r>
        <w:rPr>
          <w:b/>
        </w:rPr>
        <w:t>Artikel 9</w:t>
      </w:r>
    </w:p>
    <w:p w14:paraId="438FC87B" w14:textId="77777777" w:rsidR="006F7B4A" w:rsidRDefault="006F7B4A" w:rsidP="00945EA5">
      <w:pPr>
        <w:jc w:val="both"/>
      </w:pPr>
    </w:p>
    <w:p w14:paraId="75C8439C" w14:textId="77777777" w:rsidR="00945EA5" w:rsidRDefault="00945EA5" w:rsidP="00945EA5">
      <w:pPr>
        <w:jc w:val="both"/>
      </w:pPr>
    </w:p>
    <w:p w14:paraId="65CE6E5A" w14:textId="2CC988CC" w:rsidR="00C67805" w:rsidRDefault="00945EA5" w:rsidP="00945EA5">
      <w:pPr>
        <w:jc w:val="both"/>
      </w:pPr>
      <w:r>
        <w:tab/>
        <w:t>Jedes Mitglied nimmt Rechtsvorschriften an, die Arbeitgeber dazu verpflichten, geeignete und dem Grad ihrer Kontrolle angemessene Schritte zu unternehmen, um Gewalt und Belästigung in der Arbeitswelt, einschließlich genderspezifischer Gewalt und Belästigung, zu verhindern und, soweit dies angemessen und praktisch durchführbar ist, insbesondere:</w:t>
      </w:r>
    </w:p>
    <w:p w14:paraId="1A15A217" w14:textId="77777777" w:rsidR="006F7B4A" w:rsidRDefault="006F7B4A" w:rsidP="00945EA5">
      <w:pPr>
        <w:jc w:val="both"/>
      </w:pPr>
    </w:p>
    <w:p w14:paraId="467D20D7" w14:textId="4A91B7ED" w:rsidR="002702F3" w:rsidRDefault="00945EA5" w:rsidP="00945EA5">
      <w:pPr>
        <w:jc w:val="both"/>
      </w:pPr>
      <w:r>
        <w:tab/>
      </w:r>
      <w:r>
        <w:rPr>
          <w:i/>
          <w:iCs/>
        </w:rPr>
        <w:t>a)</w:t>
      </w:r>
      <w:r>
        <w:t xml:space="preserve"> in Beratung mit den Arbeitnehmern sowie ihren Vertretungen eine Arbeitsplatzpolitik zu Gewalt und Belästigung anzunehmen und umzusetzen,</w:t>
      </w:r>
    </w:p>
    <w:p w14:paraId="5C2E9A6D" w14:textId="77777777" w:rsidR="006F7B4A" w:rsidRDefault="006F7B4A" w:rsidP="00945EA5">
      <w:pPr>
        <w:jc w:val="both"/>
      </w:pPr>
    </w:p>
    <w:p w14:paraId="189B480C" w14:textId="5349D351" w:rsidR="00C67805" w:rsidRDefault="00945EA5" w:rsidP="00945EA5">
      <w:pPr>
        <w:jc w:val="both"/>
      </w:pPr>
      <w:r>
        <w:tab/>
      </w:r>
      <w:r>
        <w:rPr>
          <w:i/>
          <w:iCs/>
        </w:rPr>
        <w:t>b)</w:t>
      </w:r>
      <w:r>
        <w:t xml:space="preserve"> Gewalt und Belästigung und damit verbundene psychosoziale Risiken beim Management der Sicherheit und Gesundheit am Arbeitsplatz zu berücksichtigen,</w:t>
      </w:r>
    </w:p>
    <w:p w14:paraId="7C680B82" w14:textId="77777777" w:rsidR="00945EA5" w:rsidRDefault="00945EA5" w:rsidP="00945EA5">
      <w:pPr>
        <w:jc w:val="both"/>
      </w:pPr>
    </w:p>
    <w:p w14:paraId="53FEA5B0" w14:textId="3E8E7915" w:rsidR="00C67805" w:rsidRDefault="00945EA5" w:rsidP="00945EA5">
      <w:pPr>
        <w:jc w:val="both"/>
      </w:pPr>
      <w:r>
        <w:tab/>
      </w:r>
      <w:r>
        <w:rPr>
          <w:i/>
          <w:iCs/>
        </w:rPr>
        <w:t>c)</w:t>
      </w:r>
      <w:r>
        <w:t xml:space="preserve"> unter Beteiligung der Arbeitnehmer sowie ihrer Vertretungen Gefahren zu ermitteln und die Risiken von Gewalt und Belästigung zu bewerten sowie Maßnahmen zu ihrer Verhinderung und Kontrolle zu ergreifen,</w:t>
      </w:r>
    </w:p>
    <w:p w14:paraId="297B81BD" w14:textId="77777777" w:rsidR="006F7B4A" w:rsidRDefault="006F7B4A" w:rsidP="00945EA5">
      <w:pPr>
        <w:jc w:val="both"/>
      </w:pPr>
    </w:p>
    <w:p w14:paraId="34834856" w14:textId="7AC7E208" w:rsidR="00C67805" w:rsidRDefault="00945EA5" w:rsidP="00945EA5">
      <w:pPr>
        <w:jc w:val="both"/>
      </w:pPr>
      <w:r>
        <w:tab/>
      </w:r>
      <w:r>
        <w:rPr>
          <w:i/>
          <w:iCs/>
        </w:rPr>
        <w:t>d)</w:t>
      </w:r>
      <w:r>
        <w:t xml:space="preserve"> den Arbeitnehmern sowie anderen betroffenen Personen Informationen und Schulungen über die ermittelten Gefahren und Risiken von Gewalt und Belästigung und die damit verbundenen Präventions- und Schutzmaßnahmen bereitzustellen, einschließlich über ihre Rechte und Pflichten im Zusammenhang mit der in Buchstabe </w:t>
      </w:r>
      <w:r>
        <w:rPr>
          <w:i/>
          <w:iCs/>
        </w:rPr>
        <w:t>a)</w:t>
      </w:r>
      <w:r>
        <w:t xml:space="preserve"> dieses Artikels genannten Politik, gegebenenfalls in zugänglichen Formaten.</w:t>
      </w:r>
    </w:p>
    <w:p w14:paraId="655AC8C8" w14:textId="77777777" w:rsidR="006F7B4A" w:rsidRDefault="006F7B4A" w:rsidP="00945EA5">
      <w:pPr>
        <w:jc w:val="both"/>
      </w:pPr>
    </w:p>
    <w:p w14:paraId="222E55FE" w14:textId="77777777" w:rsidR="00945EA5" w:rsidRDefault="00945EA5" w:rsidP="00945EA5">
      <w:pPr>
        <w:jc w:val="both"/>
      </w:pPr>
    </w:p>
    <w:p w14:paraId="686555BC" w14:textId="77777777" w:rsidR="00AC3CA8" w:rsidRDefault="00AC3CA8">
      <w:pPr>
        <w:rPr>
          <w:b/>
        </w:rPr>
      </w:pPr>
      <w:r>
        <w:rPr>
          <w:b/>
        </w:rPr>
        <w:br w:type="page"/>
      </w:r>
    </w:p>
    <w:p w14:paraId="2254A397" w14:textId="62F4E796" w:rsidR="00C67805" w:rsidRPr="00945EA5" w:rsidRDefault="00C67805" w:rsidP="00945EA5">
      <w:pPr>
        <w:jc w:val="center"/>
        <w:rPr>
          <w:b/>
          <w:bCs/>
        </w:rPr>
      </w:pPr>
      <w:r>
        <w:rPr>
          <w:b/>
        </w:rPr>
        <w:lastRenderedPageBreak/>
        <w:t>V. Durchsetzung und Rechtsmittel</w:t>
      </w:r>
    </w:p>
    <w:p w14:paraId="5387B238" w14:textId="77777777" w:rsidR="006F7B4A" w:rsidRDefault="006F7B4A" w:rsidP="00AC2C30">
      <w:pPr>
        <w:jc w:val="both"/>
      </w:pPr>
    </w:p>
    <w:p w14:paraId="7D6037E4" w14:textId="77777777" w:rsidR="00945EA5" w:rsidRDefault="00945EA5" w:rsidP="00AC2C30">
      <w:pPr>
        <w:jc w:val="both"/>
      </w:pPr>
    </w:p>
    <w:p w14:paraId="2414A46F" w14:textId="7C62C1F7" w:rsidR="00C67805" w:rsidRPr="00945EA5" w:rsidRDefault="00C67805" w:rsidP="00945EA5">
      <w:pPr>
        <w:jc w:val="center"/>
        <w:rPr>
          <w:b/>
          <w:bCs/>
        </w:rPr>
      </w:pPr>
      <w:r>
        <w:rPr>
          <w:b/>
        </w:rPr>
        <w:t>Artikel 10</w:t>
      </w:r>
    </w:p>
    <w:p w14:paraId="2A30AD8B" w14:textId="77777777" w:rsidR="006F7B4A" w:rsidRDefault="006F7B4A" w:rsidP="00945EA5">
      <w:pPr>
        <w:jc w:val="both"/>
      </w:pPr>
    </w:p>
    <w:p w14:paraId="7886D192" w14:textId="77777777" w:rsidR="00945EA5" w:rsidRDefault="00945EA5" w:rsidP="00945EA5">
      <w:pPr>
        <w:jc w:val="both"/>
      </w:pPr>
    </w:p>
    <w:p w14:paraId="406344FC" w14:textId="6722C027" w:rsidR="00C67805" w:rsidRDefault="00945EA5" w:rsidP="00945EA5">
      <w:pPr>
        <w:jc w:val="both"/>
      </w:pPr>
      <w:r>
        <w:tab/>
        <w:t>Jedes Mitglied trifft angemessene Maßnahmen, um:</w:t>
      </w:r>
    </w:p>
    <w:p w14:paraId="6459A6E0" w14:textId="77777777" w:rsidR="006F7B4A" w:rsidRDefault="006F7B4A" w:rsidP="00945EA5">
      <w:pPr>
        <w:jc w:val="both"/>
      </w:pPr>
    </w:p>
    <w:p w14:paraId="614AEC5A" w14:textId="3B328A96" w:rsidR="00C67805" w:rsidRDefault="00945EA5" w:rsidP="00945EA5">
      <w:pPr>
        <w:jc w:val="both"/>
      </w:pPr>
      <w:r>
        <w:tab/>
      </w:r>
      <w:r>
        <w:rPr>
          <w:i/>
          <w:iCs/>
        </w:rPr>
        <w:t>a)</w:t>
      </w:r>
      <w:r>
        <w:t xml:space="preserve"> die innerstaatlichen Rechtsvorschriften gegen Gewalt und Belästigung in der Arbeitswelt zu überwachen und durchzusetzen,</w:t>
      </w:r>
    </w:p>
    <w:p w14:paraId="56A45591" w14:textId="77777777" w:rsidR="006F7B4A" w:rsidRDefault="006F7B4A" w:rsidP="00945EA5">
      <w:pPr>
        <w:jc w:val="both"/>
      </w:pPr>
    </w:p>
    <w:p w14:paraId="316A1F05" w14:textId="1CFB5DFB" w:rsidR="002702F3" w:rsidRDefault="00945EA5" w:rsidP="00945EA5">
      <w:pPr>
        <w:jc w:val="both"/>
      </w:pPr>
      <w:r>
        <w:tab/>
      </w:r>
      <w:r>
        <w:rPr>
          <w:i/>
          <w:iCs/>
        </w:rPr>
        <w:t>b)</w:t>
      </w:r>
      <w:r>
        <w:t xml:space="preserve"> sicherzustellen, dass in Fällen von Gewalt und Belästigung in der Arbeitswelt leichter Zugang zu geeigneten und wirksamen Rechtsmitteln sowie zu sicheren, fairen und wirksamen Melde- und Streitbeilegungsmechanismen und -verfahren besteht, wie zum Beispiel:</w:t>
      </w:r>
    </w:p>
    <w:p w14:paraId="30A7C826" w14:textId="77777777" w:rsidR="00945EA5" w:rsidRDefault="00945EA5" w:rsidP="00945EA5">
      <w:pPr>
        <w:jc w:val="both"/>
      </w:pPr>
    </w:p>
    <w:p w14:paraId="1484F538" w14:textId="2FB6215D" w:rsidR="00C67805" w:rsidRDefault="00945EA5" w:rsidP="00945EA5">
      <w:pPr>
        <w:jc w:val="both"/>
      </w:pPr>
      <w:r>
        <w:tab/>
        <w:t>i) Beschwerde- und Untersuchungsverfahren sowie dort, wo es angemessen ist, betriebliche Streitbeilegungsmechanismen,</w:t>
      </w:r>
    </w:p>
    <w:p w14:paraId="4096A195" w14:textId="77777777" w:rsidR="002702F3" w:rsidRDefault="002702F3" w:rsidP="00945EA5">
      <w:pPr>
        <w:jc w:val="both"/>
      </w:pPr>
    </w:p>
    <w:p w14:paraId="22DE4977" w14:textId="4557B46C" w:rsidR="00C67805" w:rsidRDefault="00945EA5" w:rsidP="00945EA5">
      <w:pPr>
        <w:jc w:val="both"/>
      </w:pPr>
      <w:r>
        <w:tab/>
        <w:t>ii) außerbetriebliche Streitbeilegungsmechanismen,</w:t>
      </w:r>
    </w:p>
    <w:p w14:paraId="0925BDEA" w14:textId="77777777" w:rsidR="002702F3" w:rsidRDefault="002702F3" w:rsidP="00945EA5">
      <w:pPr>
        <w:jc w:val="both"/>
      </w:pPr>
    </w:p>
    <w:p w14:paraId="44B51619" w14:textId="50B17551" w:rsidR="00C67805" w:rsidRDefault="00945EA5" w:rsidP="00945EA5">
      <w:pPr>
        <w:jc w:val="both"/>
      </w:pPr>
      <w:r>
        <w:tab/>
        <w:t>iii) Gerichte,</w:t>
      </w:r>
    </w:p>
    <w:p w14:paraId="1142B541" w14:textId="77777777" w:rsidR="002702F3" w:rsidRDefault="002702F3" w:rsidP="00945EA5">
      <w:pPr>
        <w:jc w:val="both"/>
      </w:pPr>
    </w:p>
    <w:p w14:paraId="6E27B828" w14:textId="42EE7559" w:rsidR="00C67805" w:rsidRDefault="00945EA5" w:rsidP="00945EA5">
      <w:pPr>
        <w:jc w:val="both"/>
      </w:pPr>
      <w:r>
        <w:tab/>
        <w:t>iv) Schutz von beschwerdeführenden Personen, Opfern, Zeugen sowie Hinweisgebern von Viktimisierung oder Vergeltungsmaßnahmen,</w:t>
      </w:r>
    </w:p>
    <w:p w14:paraId="2B71E04A" w14:textId="77777777" w:rsidR="002702F3" w:rsidRDefault="002702F3" w:rsidP="00945EA5">
      <w:pPr>
        <w:jc w:val="both"/>
      </w:pPr>
    </w:p>
    <w:p w14:paraId="0D6E30B7" w14:textId="5118B7C4" w:rsidR="00C67805" w:rsidRDefault="00945EA5" w:rsidP="00945EA5">
      <w:pPr>
        <w:jc w:val="both"/>
      </w:pPr>
      <w:r>
        <w:tab/>
        <w:t>v) rechtliche, soziale, medizinische und administrative Unterstützungsmaßnahmen für beschwerdeführende Personen und Opfer,</w:t>
      </w:r>
    </w:p>
    <w:p w14:paraId="30A223E0" w14:textId="77777777" w:rsidR="002702F3" w:rsidRDefault="002702F3" w:rsidP="00945EA5">
      <w:pPr>
        <w:jc w:val="both"/>
      </w:pPr>
    </w:p>
    <w:p w14:paraId="66C7C959" w14:textId="3C4EAB47" w:rsidR="00C67805" w:rsidRDefault="00945EA5" w:rsidP="00945EA5">
      <w:pPr>
        <w:jc w:val="both"/>
      </w:pPr>
      <w:r>
        <w:tab/>
      </w:r>
      <w:r>
        <w:rPr>
          <w:i/>
          <w:iCs/>
        </w:rPr>
        <w:t>c)</w:t>
      </w:r>
      <w:r>
        <w:t xml:space="preserve"> die Privatsphäre der betroffenen Personen zu schützen und Vertraulichkeit zu wahren, soweit dies möglich und angemessen ist, und sicherzustellen, dass die Anforderungen in Bezug auf die Privatsphäre und Vertraulichkeit nicht missbräuchlich angewandt werden,</w:t>
      </w:r>
    </w:p>
    <w:p w14:paraId="6F92A34D" w14:textId="77777777" w:rsidR="00945EA5" w:rsidRDefault="00945EA5" w:rsidP="00945EA5">
      <w:pPr>
        <w:jc w:val="both"/>
      </w:pPr>
    </w:p>
    <w:p w14:paraId="63F94864" w14:textId="13969F83" w:rsidR="00C67805" w:rsidRDefault="00945EA5" w:rsidP="00945EA5">
      <w:pPr>
        <w:jc w:val="both"/>
      </w:pPr>
      <w:r>
        <w:tab/>
      </w:r>
      <w:r>
        <w:rPr>
          <w:i/>
          <w:iCs/>
        </w:rPr>
        <w:t>d)</w:t>
      </w:r>
      <w:r>
        <w:t xml:space="preserve"> in Fällen von Gewalt und Belästigung in der Arbeitswelt dort, wo es angemessen ist, Sanktionen vorzusehen,</w:t>
      </w:r>
    </w:p>
    <w:p w14:paraId="498A138A" w14:textId="77777777" w:rsidR="002702F3" w:rsidRDefault="002702F3" w:rsidP="00945EA5">
      <w:pPr>
        <w:jc w:val="both"/>
      </w:pPr>
    </w:p>
    <w:p w14:paraId="6FF36827" w14:textId="1472185E" w:rsidR="00C67805" w:rsidRDefault="00945EA5" w:rsidP="00945EA5">
      <w:pPr>
        <w:jc w:val="both"/>
      </w:pPr>
      <w:r>
        <w:tab/>
      </w:r>
      <w:r>
        <w:rPr>
          <w:i/>
          <w:iCs/>
        </w:rPr>
        <w:t>e)</w:t>
      </w:r>
      <w:r>
        <w:t xml:space="preserve"> vorzusehen, dass Opfer von genderspezifischer Gewalt und Belästigung in der Arbeitswelt effektiven Zugang zu genderorientierten, sicheren und wirksamen Beschwerde- und Streitbeilegungsmechanismen, Unterstützungsangeboten, Diensten und Rechtsmitteln haben,</w:t>
      </w:r>
    </w:p>
    <w:p w14:paraId="21F6A6C9" w14:textId="77777777" w:rsidR="00945EA5" w:rsidRDefault="00945EA5" w:rsidP="00945EA5">
      <w:pPr>
        <w:jc w:val="both"/>
      </w:pPr>
    </w:p>
    <w:p w14:paraId="74C56FF5" w14:textId="311BD0BC" w:rsidR="00C67805" w:rsidRDefault="00945EA5" w:rsidP="00945EA5">
      <w:pPr>
        <w:jc w:val="both"/>
      </w:pPr>
      <w:r>
        <w:tab/>
      </w:r>
      <w:r>
        <w:rPr>
          <w:i/>
          <w:iCs/>
        </w:rPr>
        <w:t>f)</w:t>
      </w:r>
      <w:r>
        <w:t xml:space="preserve"> die Auswirkungen von häuslicher Gewalt auf die Arbeitswelt anzuerkennen und, soweit dies angemessen und praktisch durchführbar ist, ihre Auswirkungen in der Arbeitswelt zu mindern,</w:t>
      </w:r>
    </w:p>
    <w:p w14:paraId="54696F3C" w14:textId="77777777" w:rsidR="00945EA5" w:rsidRDefault="00945EA5" w:rsidP="00945EA5">
      <w:pPr>
        <w:jc w:val="both"/>
      </w:pPr>
    </w:p>
    <w:p w14:paraId="4FE0AE2B" w14:textId="166E4E37" w:rsidR="00C67805" w:rsidRDefault="00945EA5" w:rsidP="00945EA5">
      <w:pPr>
        <w:jc w:val="both"/>
      </w:pPr>
      <w:r>
        <w:tab/>
      </w:r>
      <w:r>
        <w:rPr>
          <w:i/>
          <w:iCs/>
        </w:rPr>
        <w:t>g)</w:t>
      </w:r>
      <w:r>
        <w:t xml:space="preserve"> sicherzustellen, dass Arbeitnehmer das Recht haben, sich von einer Arbeitssituation zu entfernen, wenn sie hinreichenden Grund zu der Annahme haben, dass diese Situation aufgrund von Gewalt und Belästigung eine unmittelbare und ernste Gefahr für ihr Leben, ihre Gesundheit oder ihre Sicherheit darstellt, ohne Vergeltungsmaßnahmen oder andere ungerechtfertigte Folgen zu erleiden, und die Pflicht haben, die Geschäftsleitung zu informieren,</w:t>
      </w:r>
    </w:p>
    <w:p w14:paraId="6347B54F" w14:textId="77777777" w:rsidR="002702F3" w:rsidRDefault="002702F3" w:rsidP="00945EA5">
      <w:pPr>
        <w:jc w:val="both"/>
      </w:pPr>
    </w:p>
    <w:p w14:paraId="7E1D0B25" w14:textId="20BB5937" w:rsidR="00C67805" w:rsidRDefault="00945EA5" w:rsidP="00945EA5">
      <w:pPr>
        <w:jc w:val="both"/>
      </w:pPr>
      <w:r>
        <w:tab/>
      </w:r>
      <w:r>
        <w:rPr>
          <w:i/>
          <w:iCs/>
        </w:rPr>
        <w:t>h)</w:t>
      </w:r>
      <w:r>
        <w:t xml:space="preserve"> sicherzustellen, dass je nach Fall Arbeitsaufsichtsbehörden und andere maßgebliche Stellen befugt sind, gegen Gewalt und Belästigung in der Arbeitswelt vorzugehen, einschließlich durch den Erlass von Anordnungen sofort vollziehbarer Maßnahmen sowie Anordnungen zur Einstellung der Arbeit in Fällen einer unmittelbaren Gefahr für Leben, Gesundheit oder Sicherheit, vorbehaltlich eines etwaigen gesetzlichen Rechts auf Beschwerde bei einer Gerichts- oder Verwaltungsbehörde.</w:t>
      </w:r>
    </w:p>
    <w:p w14:paraId="1FC195AF" w14:textId="77777777" w:rsidR="002702F3" w:rsidRDefault="002702F3" w:rsidP="00945EA5">
      <w:pPr>
        <w:jc w:val="both"/>
      </w:pPr>
    </w:p>
    <w:p w14:paraId="7D1C10D2" w14:textId="77777777" w:rsidR="00945EA5" w:rsidRDefault="00945EA5" w:rsidP="00945EA5">
      <w:pPr>
        <w:jc w:val="both"/>
      </w:pPr>
    </w:p>
    <w:p w14:paraId="5A8523BA" w14:textId="4836EE2A" w:rsidR="00C67805" w:rsidRPr="00945EA5" w:rsidRDefault="00C67805" w:rsidP="00945EA5">
      <w:pPr>
        <w:jc w:val="center"/>
        <w:rPr>
          <w:b/>
          <w:bCs/>
        </w:rPr>
      </w:pPr>
      <w:r>
        <w:rPr>
          <w:b/>
        </w:rPr>
        <w:t>V. Leitlinien, Schulungen und Sensibilisierung</w:t>
      </w:r>
    </w:p>
    <w:p w14:paraId="1CC9CF34" w14:textId="77777777" w:rsidR="002702F3" w:rsidRDefault="002702F3" w:rsidP="00AC2C30">
      <w:pPr>
        <w:jc w:val="both"/>
      </w:pPr>
    </w:p>
    <w:p w14:paraId="77011ABE" w14:textId="77777777" w:rsidR="00945EA5" w:rsidRDefault="00945EA5" w:rsidP="00AC2C30">
      <w:pPr>
        <w:jc w:val="both"/>
      </w:pPr>
    </w:p>
    <w:p w14:paraId="40B87E1F" w14:textId="4471612B" w:rsidR="00C67805" w:rsidRPr="00945EA5" w:rsidRDefault="00C67805" w:rsidP="00945EA5">
      <w:pPr>
        <w:jc w:val="center"/>
        <w:rPr>
          <w:b/>
          <w:bCs/>
        </w:rPr>
      </w:pPr>
      <w:r>
        <w:rPr>
          <w:b/>
        </w:rPr>
        <w:t>Artikel 11</w:t>
      </w:r>
    </w:p>
    <w:p w14:paraId="1BC8FB95" w14:textId="77777777" w:rsidR="002702F3" w:rsidRDefault="002702F3" w:rsidP="00945EA5">
      <w:pPr>
        <w:jc w:val="both"/>
      </w:pPr>
    </w:p>
    <w:p w14:paraId="1F6C0DED" w14:textId="77777777" w:rsidR="00945EA5" w:rsidRDefault="00945EA5" w:rsidP="00945EA5">
      <w:pPr>
        <w:jc w:val="both"/>
      </w:pPr>
    </w:p>
    <w:p w14:paraId="1FB1CAC3" w14:textId="0F5F0C9A" w:rsidR="00C67805" w:rsidRDefault="00945EA5" w:rsidP="00945EA5">
      <w:pPr>
        <w:jc w:val="both"/>
      </w:pPr>
      <w:r>
        <w:tab/>
        <w:t>Jedes Mitglied ist bemüht, in Beratung mit den repräsentativen Arbeitgeber- und Arbeitnehmerverbänden sicherzustellen, dass:</w:t>
      </w:r>
    </w:p>
    <w:p w14:paraId="7687AA66" w14:textId="77777777" w:rsidR="00945EA5" w:rsidRDefault="00945EA5" w:rsidP="00945EA5">
      <w:pPr>
        <w:jc w:val="both"/>
      </w:pPr>
    </w:p>
    <w:p w14:paraId="25AD0070" w14:textId="4DA0F24E" w:rsidR="00C67805" w:rsidRDefault="00945EA5" w:rsidP="00945EA5">
      <w:pPr>
        <w:jc w:val="both"/>
      </w:pPr>
      <w:r>
        <w:tab/>
      </w:r>
      <w:r>
        <w:rPr>
          <w:i/>
          <w:iCs/>
        </w:rPr>
        <w:t>a)</w:t>
      </w:r>
      <w:r>
        <w:t xml:space="preserve"> Gewalt und Belästigung in der Arbeitswelt in den einschlägigen innerstaatlichen Politiken, wie jene zur Sicherheit und Gesundheit am Arbeitsplatz, zur Gleichheit und Nichtdiskriminierung sowie zur Migration, angegangen werden,</w:t>
      </w:r>
    </w:p>
    <w:p w14:paraId="646B039B" w14:textId="77777777" w:rsidR="002702F3" w:rsidRDefault="002702F3" w:rsidP="00945EA5">
      <w:pPr>
        <w:jc w:val="both"/>
      </w:pPr>
    </w:p>
    <w:p w14:paraId="019D1682" w14:textId="327C7FDD" w:rsidR="00C67805" w:rsidRDefault="00945EA5" w:rsidP="00945EA5">
      <w:pPr>
        <w:jc w:val="both"/>
      </w:pPr>
      <w:r>
        <w:tab/>
      </w:r>
      <w:r>
        <w:rPr>
          <w:i/>
          <w:iCs/>
        </w:rPr>
        <w:t>b)</w:t>
      </w:r>
      <w:r>
        <w:t xml:space="preserve"> den Arbeitgebern sowie Arbeitnehmern und ihren Verbänden und den maßgeblichen Stellen Leitlinien, Ressourcen, Schulungen oder sonstige Instrumente zu Gewalt und Belästigung in der Arbeitswelt, einschließlich genderspezifischer Gewalt und Belästigung, bereitgestellt werden, gegebenenfalls in zugänglichen Formaten,</w:t>
      </w:r>
    </w:p>
    <w:p w14:paraId="33245A85" w14:textId="77777777" w:rsidR="002702F3" w:rsidRDefault="002702F3" w:rsidP="00945EA5">
      <w:pPr>
        <w:jc w:val="both"/>
      </w:pPr>
    </w:p>
    <w:p w14:paraId="620A808A" w14:textId="6D421FD8" w:rsidR="00C67805" w:rsidRDefault="00945EA5" w:rsidP="00945EA5">
      <w:pPr>
        <w:jc w:val="both"/>
      </w:pPr>
      <w:r>
        <w:tab/>
      </w:r>
      <w:r>
        <w:rPr>
          <w:i/>
          <w:iCs/>
        </w:rPr>
        <w:t>c)</w:t>
      </w:r>
      <w:r>
        <w:t xml:space="preserve"> Initiativen, einschließlich Sensibilisierungskampagnen, durchgeführt werden.</w:t>
      </w:r>
    </w:p>
    <w:p w14:paraId="6CF6882F" w14:textId="77777777" w:rsidR="00945EA5" w:rsidRDefault="00945EA5" w:rsidP="00945EA5">
      <w:pPr>
        <w:jc w:val="both"/>
      </w:pPr>
    </w:p>
    <w:p w14:paraId="6E69E75C" w14:textId="77777777" w:rsidR="002702F3" w:rsidRDefault="002702F3" w:rsidP="00945EA5">
      <w:pPr>
        <w:jc w:val="both"/>
      </w:pPr>
    </w:p>
    <w:p w14:paraId="47F2193E" w14:textId="77777777" w:rsidR="00C67805" w:rsidRPr="00AC2802" w:rsidRDefault="00C67805" w:rsidP="00AC2802">
      <w:pPr>
        <w:jc w:val="center"/>
        <w:rPr>
          <w:b/>
          <w:bCs/>
        </w:rPr>
      </w:pPr>
      <w:r>
        <w:rPr>
          <w:b/>
        </w:rPr>
        <w:t>VII. Durchführungsmethoden</w:t>
      </w:r>
    </w:p>
    <w:p w14:paraId="22E683CF" w14:textId="77777777" w:rsidR="002702F3" w:rsidRDefault="002702F3" w:rsidP="00AC2C30">
      <w:pPr>
        <w:jc w:val="both"/>
      </w:pPr>
    </w:p>
    <w:p w14:paraId="45B65BE6" w14:textId="77777777" w:rsidR="00AC2802" w:rsidRDefault="00AC2802" w:rsidP="00AC2C30">
      <w:pPr>
        <w:jc w:val="both"/>
      </w:pPr>
    </w:p>
    <w:p w14:paraId="2DBF285B" w14:textId="245400FB" w:rsidR="00C67805" w:rsidRPr="00AC2802" w:rsidRDefault="00C67805" w:rsidP="00AC2802">
      <w:pPr>
        <w:jc w:val="center"/>
        <w:rPr>
          <w:b/>
          <w:bCs/>
        </w:rPr>
      </w:pPr>
      <w:r>
        <w:rPr>
          <w:b/>
        </w:rPr>
        <w:t>Artikel 12</w:t>
      </w:r>
    </w:p>
    <w:p w14:paraId="4C84D511" w14:textId="77777777" w:rsidR="002702F3" w:rsidRDefault="002702F3" w:rsidP="00945EA5">
      <w:pPr>
        <w:jc w:val="both"/>
      </w:pPr>
    </w:p>
    <w:p w14:paraId="43DFB22A" w14:textId="77777777" w:rsidR="00AC2802" w:rsidRDefault="00AC2802" w:rsidP="00945EA5">
      <w:pPr>
        <w:jc w:val="both"/>
      </w:pPr>
    </w:p>
    <w:p w14:paraId="25A98BCF" w14:textId="77C2D563" w:rsidR="00C67805" w:rsidRDefault="00AC2802" w:rsidP="00945EA5">
      <w:pPr>
        <w:jc w:val="both"/>
      </w:pPr>
      <w:r>
        <w:tab/>
        <w:t>Die Bestimmungen dieses Übereinkommens werden durch innerstaatliche Rechtsvorschriften sowie durch Kollektivabkommen oder andere im Einklang mit der innerstaatlichen Praxis stehende Maßnahmen umgesetzt, einschließlich durch die Ausweitung bestehender Maßnahmen in den Bereich Sicherheit und Gesundheit am Arbeitsplatz auf Gewalt und Belästigung oder deren diesbezügliche Anpassung und bei Bedarf die Entwicklung spezifischer Maßnahmen.</w:t>
      </w:r>
    </w:p>
    <w:p w14:paraId="3C572D1F" w14:textId="77777777" w:rsidR="002702F3" w:rsidRDefault="002702F3" w:rsidP="00945EA5">
      <w:pPr>
        <w:jc w:val="both"/>
      </w:pPr>
    </w:p>
    <w:p w14:paraId="60705B77" w14:textId="77777777" w:rsidR="00AC2802" w:rsidRDefault="00AC2802" w:rsidP="00945EA5">
      <w:pPr>
        <w:jc w:val="both"/>
      </w:pPr>
    </w:p>
    <w:p w14:paraId="42BDB4EC" w14:textId="77777777" w:rsidR="00AC3CA8" w:rsidRDefault="00AC3CA8">
      <w:pPr>
        <w:rPr>
          <w:b/>
        </w:rPr>
      </w:pPr>
      <w:r>
        <w:rPr>
          <w:b/>
        </w:rPr>
        <w:br w:type="page"/>
      </w:r>
    </w:p>
    <w:p w14:paraId="74653F2A" w14:textId="1296EAE3" w:rsidR="00C67805" w:rsidRPr="00AC2802" w:rsidRDefault="00C67805" w:rsidP="00AC2802">
      <w:pPr>
        <w:jc w:val="center"/>
        <w:rPr>
          <w:b/>
          <w:bCs/>
        </w:rPr>
      </w:pPr>
      <w:r>
        <w:rPr>
          <w:b/>
        </w:rPr>
        <w:lastRenderedPageBreak/>
        <w:t>VIII. Schlussbestimmungen</w:t>
      </w:r>
    </w:p>
    <w:p w14:paraId="596429F1" w14:textId="77777777" w:rsidR="002702F3" w:rsidRDefault="002702F3" w:rsidP="00AC2C30">
      <w:pPr>
        <w:jc w:val="both"/>
      </w:pPr>
    </w:p>
    <w:p w14:paraId="18A5EFE3" w14:textId="77777777" w:rsidR="00AC2802" w:rsidRDefault="00AC2802" w:rsidP="00AC2C30">
      <w:pPr>
        <w:jc w:val="both"/>
      </w:pPr>
    </w:p>
    <w:p w14:paraId="6B352C96" w14:textId="1A2B4D67" w:rsidR="00C67805" w:rsidRPr="00AC2802" w:rsidRDefault="00C67805" w:rsidP="00AC2802">
      <w:pPr>
        <w:jc w:val="center"/>
        <w:rPr>
          <w:b/>
          <w:bCs/>
        </w:rPr>
      </w:pPr>
      <w:r>
        <w:rPr>
          <w:b/>
        </w:rPr>
        <w:t>Artikel 13</w:t>
      </w:r>
    </w:p>
    <w:p w14:paraId="7D780BF5" w14:textId="77777777" w:rsidR="002702F3" w:rsidRDefault="002702F3" w:rsidP="00AC2802">
      <w:pPr>
        <w:jc w:val="both"/>
      </w:pPr>
    </w:p>
    <w:p w14:paraId="19A2027A" w14:textId="77777777" w:rsidR="00AC2802" w:rsidRDefault="00AC2802" w:rsidP="00945EA5">
      <w:pPr>
        <w:jc w:val="both"/>
      </w:pPr>
    </w:p>
    <w:p w14:paraId="57E13290" w14:textId="7745BDA9" w:rsidR="00C67805" w:rsidRDefault="00AC2802" w:rsidP="00945EA5">
      <w:pPr>
        <w:jc w:val="both"/>
      </w:pPr>
      <w:r>
        <w:tab/>
        <w:t>Die förmlichen Ratifikationen dieses Übereinkommens sind dem Generaldirektor des Internationalen Arbeitsamtes zur Eintragung mitzuteilen.</w:t>
      </w:r>
    </w:p>
    <w:p w14:paraId="28BB5EA1" w14:textId="77777777" w:rsidR="002702F3" w:rsidRDefault="002702F3" w:rsidP="00945EA5">
      <w:pPr>
        <w:jc w:val="both"/>
      </w:pPr>
    </w:p>
    <w:p w14:paraId="4CDD54A4" w14:textId="77777777" w:rsidR="00AC2802" w:rsidRDefault="00AC2802" w:rsidP="00945EA5">
      <w:pPr>
        <w:jc w:val="both"/>
      </w:pPr>
    </w:p>
    <w:p w14:paraId="755D990C" w14:textId="7A7730C0" w:rsidR="00C67805" w:rsidRPr="00AC2802" w:rsidRDefault="00C67805" w:rsidP="00AC2802">
      <w:pPr>
        <w:jc w:val="center"/>
        <w:rPr>
          <w:b/>
          <w:bCs/>
        </w:rPr>
      </w:pPr>
      <w:r>
        <w:rPr>
          <w:b/>
        </w:rPr>
        <w:t>Artikel 14</w:t>
      </w:r>
    </w:p>
    <w:p w14:paraId="2019D172" w14:textId="77777777" w:rsidR="002702F3" w:rsidRDefault="002702F3" w:rsidP="00945EA5">
      <w:pPr>
        <w:jc w:val="both"/>
      </w:pPr>
    </w:p>
    <w:p w14:paraId="72218DE1" w14:textId="77777777" w:rsidR="00AC2802" w:rsidRDefault="00AC2802" w:rsidP="00945EA5">
      <w:pPr>
        <w:jc w:val="both"/>
      </w:pPr>
    </w:p>
    <w:p w14:paraId="066C23C0" w14:textId="49963AF9" w:rsidR="00C67805" w:rsidRDefault="00AC2802" w:rsidP="00945EA5">
      <w:pPr>
        <w:jc w:val="both"/>
      </w:pPr>
      <w:r>
        <w:tab/>
        <w:t>1. Dieses Übereinkommen bindet nur diejenigen Mitglieder der Internationalen Arbeitsorganisation, deren Ratifikation durch den Generaldirektor des Internationalen Arbeitsamtes eingetragen ist.</w:t>
      </w:r>
    </w:p>
    <w:p w14:paraId="0E67DEF7" w14:textId="77777777" w:rsidR="002702F3" w:rsidRDefault="002702F3" w:rsidP="00945EA5">
      <w:pPr>
        <w:jc w:val="both"/>
      </w:pPr>
    </w:p>
    <w:p w14:paraId="449A5292" w14:textId="41E4BABC" w:rsidR="00C67805" w:rsidRDefault="00AC2802" w:rsidP="00945EA5">
      <w:pPr>
        <w:jc w:val="both"/>
      </w:pPr>
      <w:r>
        <w:tab/>
        <w:t>2. Es tritt zwölf Monate, nachdem die Ratifikationen zweier Mitglieder durch den Generaldirektor eingetragen worden sind, in Kraft.</w:t>
      </w:r>
    </w:p>
    <w:p w14:paraId="4D870BF7" w14:textId="77777777" w:rsidR="002702F3" w:rsidRDefault="002702F3" w:rsidP="00945EA5">
      <w:pPr>
        <w:jc w:val="both"/>
      </w:pPr>
    </w:p>
    <w:p w14:paraId="0CA665FD" w14:textId="7EDC8507" w:rsidR="00C67805" w:rsidRDefault="00AC2802" w:rsidP="00945EA5">
      <w:pPr>
        <w:jc w:val="both"/>
      </w:pPr>
      <w:r>
        <w:tab/>
        <w:t>3. In der Folge tritt dieses Übereinkommen für jedes Mitglied zwölf Monate nach der Eintragung seiner Ratifikation in Kraft.</w:t>
      </w:r>
    </w:p>
    <w:p w14:paraId="7D357AC6" w14:textId="77777777" w:rsidR="002702F3" w:rsidRDefault="002702F3" w:rsidP="00945EA5">
      <w:pPr>
        <w:jc w:val="both"/>
      </w:pPr>
    </w:p>
    <w:p w14:paraId="26535D50" w14:textId="77777777" w:rsidR="00AC2802" w:rsidRDefault="00AC2802" w:rsidP="00945EA5">
      <w:pPr>
        <w:jc w:val="both"/>
      </w:pPr>
    </w:p>
    <w:p w14:paraId="66A35594" w14:textId="296B13DA" w:rsidR="00C67805" w:rsidRPr="00AC2802" w:rsidRDefault="00C67805" w:rsidP="00AC2802">
      <w:pPr>
        <w:jc w:val="center"/>
        <w:rPr>
          <w:b/>
          <w:bCs/>
        </w:rPr>
      </w:pPr>
      <w:r>
        <w:rPr>
          <w:b/>
        </w:rPr>
        <w:t>Artikel 15</w:t>
      </w:r>
    </w:p>
    <w:p w14:paraId="1C60502C" w14:textId="77777777" w:rsidR="002702F3" w:rsidRDefault="002702F3" w:rsidP="00945EA5">
      <w:pPr>
        <w:jc w:val="both"/>
      </w:pPr>
    </w:p>
    <w:p w14:paraId="25955AF1" w14:textId="77777777" w:rsidR="00AC2802" w:rsidRDefault="00AC2802" w:rsidP="00945EA5">
      <w:pPr>
        <w:jc w:val="both"/>
      </w:pPr>
    </w:p>
    <w:p w14:paraId="2523C548" w14:textId="0BE5502A" w:rsidR="00C67805" w:rsidRDefault="00AC2802" w:rsidP="00945EA5">
      <w:pPr>
        <w:jc w:val="both"/>
      </w:pPr>
      <w:r>
        <w:tab/>
        <w:t>1. Jedes Mitglied, das dieses Übereinkommen ratifiziert hat, kann es nach Ablauf von zehn Jahren seit seinem erstmaligen Inkrafttreten durch förmliche Mitteilung an den Generaldirektor des Internationalen Arbeitsamtes kündigen. Die Kündigung wird von diesem eingetragen. Sie wird nach einem Jahr nach ihrer Eintragung wirksam.</w:t>
      </w:r>
    </w:p>
    <w:p w14:paraId="5FBFF079" w14:textId="77777777" w:rsidR="002702F3" w:rsidRDefault="002702F3" w:rsidP="00945EA5">
      <w:pPr>
        <w:jc w:val="both"/>
      </w:pPr>
    </w:p>
    <w:p w14:paraId="7CE692FE" w14:textId="7741170C" w:rsidR="00C67805" w:rsidRDefault="00AC2802" w:rsidP="00945EA5">
      <w:pPr>
        <w:jc w:val="both"/>
      </w:pPr>
      <w:r>
        <w:tab/>
        <w:t>2. Jedes Mitglied, das dieses Übereinkommen ratifiziert hat und innerhalb eines Jahres nach Ablauf der in Absatz 1 genannten zehn Jahre von dem in diesem Artikel vorgesehenen Kündigungsrecht keinen Gebrauch macht, bleibt für weitere zehn Jahre gebunden. In der Folge kann es dieses Übereinkommen innerhalb des ersten Jahres jedes neuen Zehnjahres-Zeitraums nach Maßgabe dieses Artikels kündigen.</w:t>
      </w:r>
    </w:p>
    <w:p w14:paraId="73D33B29" w14:textId="77777777" w:rsidR="002702F3" w:rsidRDefault="002702F3" w:rsidP="00945EA5">
      <w:pPr>
        <w:jc w:val="both"/>
      </w:pPr>
    </w:p>
    <w:p w14:paraId="7A95D46B" w14:textId="77777777" w:rsidR="00AC2802" w:rsidRDefault="00AC2802" w:rsidP="00945EA5">
      <w:pPr>
        <w:jc w:val="both"/>
      </w:pPr>
    </w:p>
    <w:p w14:paraId="34A216F5" w14:textId="0972611F" w:rsidR="00C67805" w:rsidRPr="00AC2802" w:rsidRDefault="00C67805" w:rsidP="00AC2802">
      <w:pPr>
        <w:jc w:val="center"/>
        <w:rPr>
          <w:b/>
          <w:bCs/>
        </w:rPr>
      </w:pPr>
      <w:r>
        <w:rPr>
          <w:b/>
        </w:rPr>
        <w:t>Artikel 16</w:t>
      </w:r>
    </w:p>
    <w:p w14:paraId="31F6A8BA" w14:textId="77777777" w:rsidR="002702F3" w:rsidRDefault="002702F3" w:rsidP="00945EA5">
      <w:pPr>
        <w:jc w:val="both"/>
      </w:pPr>
    </w:p>
    <w:p w14:paraId="4CE2C608" w14:textId="77777777" w:rsidR="00AC2802" w:rsidRDefault="00AC2802" w:rsidP="00945EA5">
      <w:pPr>
        <w:jc w:val="both"/>
      </w:pPr>
    </w:p>
    <w:p w14:paraId="5105C759" w14:textId="0404A434" w:rsidR="00C67805" w:rsidRDefault="00AC2802" w:rsidP="00945EA5">
      <w:pPr>
        <w:jc w:val="both"/>
      </w:pPr>
      <w:r>
        <w:tab/>
        <w:t>1. Der Generaldirektor des Internationalen Arbeitsamtes gibt allen Mitgliedern der Internationalen Arbeitsorganisation Kenntnis von der Eintragung aller Ratifikationen und Kündigungen, die ihm von den Mitgliedern der Organisation mitgeteilt worden sind.</w:t>
      </w:r>
    </w:p>
    <w:p w14:paraId="52AF4F69" w14:textId="77777777" w:rsidR="002702F3" w:rsidRDefault="002702F3" w:rsidP="00945EA5">
      <w:pPr>
        <w:jc w:val="both"/>
      </w:pPr>
    </w:p>
    <w:p w14:paraId="346127E7" w14:textId="411C0C5F" w:rsidR="00C67805" w:rsidRDefault="00AC2802" w:rsidP="00945EA5">
      <w:pPr>
        <w:jc w:val="both"/>
      </w:pPr>
      <w:r>
        <w:tab/>
        <w:t>2. Wenn der Generaldirektor die Mitglieder der Organisation von der Eintragung der zweiten Ratifikation, die ihm mitgeteilt wurde, in Kenntnis setzt, macht er die Mitglieder der Organisation auf den Zeitpunkt aufmerksam, zu dem dieses Übereinkommen in Kraft tritt.</w:t>
      </w:r>
    </w:p>
    <w:p w14:paraId="1EC29812" w14:textId="77777777" w:rsidR="002702F3" w:rsidRDefault="002702F3" w:rsidP="00945EA5">
      <w:pPr>
        <w:jc w:val="both"/>
      </w:pPr>
    </w:p>
    <w:p w14:paraId="428F476D" w14:textId="77777777" w:rsidR="00AC2802" w:rsidRDefault="00AC2802" w:rsidP="00945EA5">
      <w:pPr>
        <w:jc w:val="both"/>
      </w:pPr>
    </w:p>
    <w:p w14:paraId="0E449D97" w14:textId="56237745" w:rsidR="00C67805" w:rsidRPr="00AC2802" w:rsidRDefault="00C67805" w:rsidP="00AC2802">
      <w:pPr>
        <w:jc w:val="center"/>
        <w:rPr>
          <w:b/>
          <w:bCs/>
        </w:rPr>
      </w:pPr>
      <w:r>
        <w:rPr>
          <w:b/>
        </w:rPr>
        <w:t>Artikel 17</w:t>
      </w:r>
    </w:p>
    <w:p w14:paraId="530A0D54" w14:textId="77777777" w:rsidR="002702F3" w:rsidRDefault="002702F3" w:rsidP="00945EA5">
      <w:pPr>
        <w:jc w:val="both"/>
      </w:pPr>
    </w:p>
    <w:p w14:paraId="4C22B1CA" w14:textId="77777777" w:rsidR="00AC2802" w:rsidRDefault="00AC2802" w:rsidP="00945EA5">
      <w:pPr>
        <w:jc w:val="both"/>
      </w:pPr>
    </w:p>
    <w:p w14:paraId="17005B67" w14:textId="29A37EA4" w:rsidR="00C67805" w:rsidRDefault="00AC2802" w:rsidP="00945EA5">
      <w:pPr>
        <w:jc w:val="both"/>
      </w:pPr>
      <w:r>
        <w:tab/>
        <w:t>Der Generaldirektor des Internationalen Arbeitsamtes übermittelt dem Generalsekretär der Vereinten Nationen zur Eintragung nach Artikel 102 der Charta der Vereinten Nationen vollständige Auskünfte über alle nach Maßgabe der vorausgehenden Artikel eingetragenen Ratifikationen und Kündigungen.</w:t>
      </w:r>
    </w:p>
    <w:p w14:paraId="6E561D4F" w14:textId="77777777" w:rsidR="002702F3" w:rsidRDefault="002702F3" w:rsidP="00945EA5">
      <w:pPr>
        <w:jc w:val="both"/>
      </w:pPr>
    </w:p>
    <w:p w14:paraId="68A9F6B2" w14:textId="77777777" w:rsidR="00AC2802" w:rsidRDefault="00AC2802" w:rsidP="00945EA5">
      <w:pPr>
        <w:jc w:val="both"/>
      </w:pPr>
    </w:p>
    <w:p w14:paraId="03BF30A0" w14:textId="5B102386" w:rsidR="00C67805" w:rsidRPr="00AC2802" w:rsidRDefault="00C67805" w:rsidP="00AC2802">
      <w:pPr>
        <w:jc w:val="center"/>
        <w:rPr>
          <w:b/>
          <w:bCs/>
        </w:rPr>
      </w:pPr>
      <w:r>
        <w:rPr>
          <w:b/>
        </w:rPr>
        <w:t>Artikel 18</w:t>
      </w:r>
    </w:p>
    <w:p w14:paraId="77221F26" w14:textId="77777777" w:rsidR="002702F3" w:rsidRDefault="002702F3" w:rsidP="00945EA5">
      <w:pPr>
        <w:jc w:val="both"/>
      </w:pPr>
    </w:p>
    <w:p w14:paraId="093C1FBE" w14:textId="77777777" w:rsidR="00AC2802" w:rsidRDefault="00AC2802" w:rsidP="00945EA5">
      <w:pPr>
        <w:jc w:val="both"/>
      </w:pPr>
    </w:p>
    <w:p w14:paraId="1DA6F4BA" w14:textId="152FA526" w:rsidR="00C67805" w:rsidRDefault="00AC2802" w:rsidP="00945EA5">
      <w:pPr>
        <w:jc w:val="both"/>
      </w:pPr>
      <w:r>
        <w:tab/>
        <w:t>Der Verwaltungsrat des Internationalen Arbeitsamtes erstattet der Allgemeinen Konferenz, wann immer er es für nötig erachtet, einen Bericht über die Durchführung dieses Übereinkommens und prüft, ob die Frage seiner vollständigen oder teilweisen Neufassung auf die Tagesordnung der Konferenz gesetzt werden soll.</w:t>
      </w:r>
    </w:p>
    <w:p w14:paraId="07625CD6" w14:textId="77777777" w:rsidR="002702F3" w:rsidRDefault="002702F3" w:rsidP="00945EA5">
      <w:pPr>
        <w:jc w:val="both"/>
      </w:pPr>
    </w:p>
    <w:p w14:paraId="154BA1D9" w14:textId="77777777" w:rsidR="00AC2802" w:rsidRDefault="00AC2802" w:rsidP="00945EA5">
      <w:pPr>
        <w:jc w:val="both"/>
      </w:pPr>
    </w:p>
    <w:p w14:paraId="2907486E" w14:textId="06A78177" w:rsidR="00C67805" w:rsidRPr="00AC2802" w:rsidRDefault="00C67805" w:rsidP="00AC2802">
      <w:pPr>
        <w:jc w:val="center"/>
        <w:rPr>
          <w:b/>
          <w:bCs/>
        </w:rPr>
      </w:pPr>
      <w:r>
        <w:rPr>
          <w:b/>
        </w:rPr>
        <w:t>Artikel 19</w:t>
      </w:r>
    </w:p>
    <w:p w14:paraId="1268B0E3" w14:textId="77777777" w:rsidR="002702F3" w:rsidRDefault="002702F3" w:rsidP="00945EA5">
      <w:pPr>
        <w:jc w:val="both"/>
      </w:pPr>
    </w:p>
    <w:p w14:paraId="61CEBE6F" w14:textId="77777777" w:rsidR="00AC2802" w:rsidRDefault="00AC2802" w:rsidP="00945EA5">
      <w:pPr>
        <w:jc w:val="both"/>
      </w:pPr>
    </w:p>
    <w:p w14:paraId="0FA1411B" w14:textId="631E6BB3" w:rsidR="00C67805" w:rsidRDefault="00AC2802" w:rsidP="00945EA5">
      <w:pPr>
        <w:jc w:val="both"/>
      </w:pPr>
      <w:r>
        <w:tab/>
        <w:t>1. Nimmt die Konferenz ein neues Übereinkommen an, das das vorliegende Übereinkommen neu fasst, und sieht das neue Übereinkommen nichts anderes vor, so gilt Folgendes:</w:t>
      </w:r>
    </w:p>
    <w:p w14:paraId="30002A8C" w14:textId="77777777" w:rsidR="002702F3" w:rsidRDefault="002702F3" w:rsidP="00945EA5">
      <w:pPr>
        <w:jc w:val="both"/>
      </w:pPr>
    </w:p>
    <w:p w14:paraId="3A545D6F" w14:textId="21169815" w:rsidR="00C67805" w:rsidRDefault="00AC2802" w:rsidP="00945EA5">
      <w:pPr>
        <w:jc w:val="both"/>
      </w:pPr>
      <w:r>
        <w:tab/>
      </w:r>
      <w:r>
        <w:rPr>
          <w:i/>
          <w:iCs/>
        </w:rPr>
        <w:t>a)</w:t>
      </w:r>
      <w:r>
        <w:t xml:space="preserve"> die Ratifikation des neu gefassten Übereinkommens durch ein Mitglied hat ungeachtet des Artikels 15 von Rechts wegen die Wirkung einer sofortigen Kündigung des vorliegenden Übereinkommens, sofern das neu gefasste Übereinkommen in Kraft getreten ist,</w:t>
      </w:r>
    </w:p>
    <w:p w14:paraId="76F4A5F9" w14:textId="77777777" w:rsidR="002702F3" w:rsidRDefault="002702F3" w:rsidP="00945EA5">
      <w:pPr>
        <w:jc w:val="both"/>
      </w:pPr>
    </w:p>
    <w:p w14:paraId="534C2CAF" w14:textId="7AD5203D" w:rsidR="00C67805" w:rsidRDefault="00AC2802" w:rsidP="00945EA5">
      <w:pPr>
        <w:jc w:val="both"/>
      </w:pPr>
      <w:r>
        <w:tab/>
      </w:r>
      <w:r>
        <w:rPr>
          <w:i/>
          <w:iCs/>
        </w:rPr>
        <w:t>b)</w:t>
      </w:r>
      <w:r>
        <w:t xml:space="preserve"> vom Zeitpunkt des Inkrafttretens des neu gefassten Übereinkommens an kann das vorliegende Übereinkommen von den Mitgliedern nicht mehr ratifiziert werden.</w:t>
      </w:r>
    </w:p>
    <w:p w14:paraId="44EC41BC" w14:textId="77777777" w:rsidR="002702F3" w:rsidRDefault="002702F3" w:rsidP="00945EA5">
      <w:pPr>
        <w:jc w:val="both"/>
      </w:pPr>
    </w:p>
    <w:p w14:paraId="270E25EC" w14:textId="5D42B05B" w:rsidR="00C67805" w:rsidRDefault="00AC2802" w:rsidP="00945EA5">
      <w:pPr>
        <w:jc w:val="both"/>
      </w:pPr>
      <w:r>
        <w:tab/>
        <w:t>2. In jedem Fall bleibt das vorliegende Übereinkommen nach Form und Inhalt für diejenigen Mitglieder in Kraft, die dieses, nicht jedoch das neu gefasste Übereinkommen ratifiziert haben.</w:t>
      </w:r>
    </w:p>
    <w:p w14:paraId="7A44C9A2" w14:textId="77777777" w:rsidR="002702F3" w:rsidRDefault="002702F3" w:rsidP="00945EA5">
      <w:pPr>
        <w:jc w:val="both"/>
      </w:pPr>
    </w:p>
    <w:p w14:paraId="292BF217" w14:textId="77777777" w:rsidR="00AC2802" w:rsidRDefault="00AC2802" w:rsidP="00945EA5">
      <w:pPr>
        <w:jc w:val="both"/>
      </w:pPr>
    </w:p>
    <w:p w14:paraId="02C380F5" w14:textId="48905C16" w:rsidR="00C67805" w:rsidRPr="00AC2802" w:rsidRDefault="00C67805" w:rsidP="00AC2802">
      <w:pPr>
        <w:jc w:val="center"/>
        <w:rPr>
          <w:b/>
          <w:bCs/>
        </w:rPr>
      </w:pPr>
      <w:r>
        <w:rPr>
          <w:b/>
        </w:rPr>
        <w:t>Artikel 20</w:t>
      </w:r>
    </w:p>
    <w:p w14:paraId="3C404CCD" w14:textId="77777777" w:rsidR="002702F3" w:rsidRDefault="002702F3" w:rsidP="00945EA5">
      <w:pPr>
        <w:jc w:val="both"/>
      </w:pPr>
    </w:p>
    <w:p w14:paraId="29376A1A" w14:textId="77777777" w:rsidR="00AC2802" w:rsidRDefault="00AC2802" w:rsidP="00945EA5">
      <w:pPr>
        <w:jc w:val="both"/>
      </w:pPr>
    </w:p>
    <w:p w14:paraId="14837C7F" w14:textId="6529A190" w:rsidR="00C67805" w:rsidRDefault="00AC2802" w:rsidP="00945EA5">
      <w:pPr>
        <w:jc w:val="both"/>
      </w:pPr>
      <w:r>
        <w:tab/>
        <w:t>Der englische und französische Wortlaut dieses Übereinkommens sind in gleicher Weise verbindlich.</w:t>
      </w:r>
    </w:p>
    <w:p w14:paraId="6273C16C" w14:textId="77777777" w:rsidR="00AC3CA8" w:rsidRDefault="00AC3CA8" w:rsidP="00945EA5">
      <w:pPr>
        <w:jc w:val="both"/>
      </w:pPr>
    </w:p>
    <w:p w14:paraId="629B2ED1" w14:textId="77777777" w:rsidR="00AC3CA8" w:rsidRDefault="00AC3CA8" w:rsidP="00945EA5">
      <w:pPr>
        <w:jc w:val="both"/>
      </w:pPr>
    </w:p>
    <w:p w14:paraId="0590CCBC" w14:textId="54976648" w:rsidR="00AC3CA8" w:rsidRPr="00AC3CA8" w:rsidRDefault="00AC3CA8" w:rsidP="00945EA5">
      <w:pPr>
        <w:jc w:val="both"/>
        <w:rPr>
          <w:i/>
          <w:iCs/>
        </w:rPr>
      </w:pPr>
      <w:r>
        <w:rPr>
          <w:i/>
          <w:iCs/>
        </w:rPr>
        <w:t>[Liste der gebundenen Staaten und Ratifikationsangaben: siehe Belgisches Staatsblatt vom 30. Oktober 2023, S. 100.750 ff.]</w:t>
      </w:r>
    </w:p>
    <w:sectPr w:rsidR="00AC3CA8" w:rsidRPr="00AC3C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05"/>
    <w:rsid w:val="00040F88"/>
    <w:rsid w:val="00077F3B"/>
    <w:rsid w:val="002171B5"/>
    <w:rsid w:val="00270123"/>
    <w:rsid w:val="002702F3"/>
    <w:rsid w:val="00310AF8"/>
    <w:rsid w:val="004D27C0"/>
    <w:rsid w:val="004E2F0E"/>
    <w:rsid w:val="005369ED"/>
    <w:rsid w:val="006F7B4A"/>
    <w:rsid w:val="008C133A"/>
    <w:rsid w:val="00922E3C"/>
    <w:rsid w:val="00945EA5"/>
    <w:rsid w:val="009C2C1C"/>
    <w:rsid w:val="00A365E9"/>
    <w:rsid w:val="00A96332"/>
    <w:rsid w:val="00AC2802"/>
    <w:rsid w:val="00AC2C30"/>
    <w:rsid w:val="00AC3CA8"/>
    <w:rsid w:val="00C34D83"/>
    <w:rsid w:val="00C67805"/>
    <w:rsid w:val="00C95E8B"/>
    <w:rsid w:val="00E02CD4"/>
    <w:rsid w:val="00E17FDE"/>
    <w:rsid w:val="00FC367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6BF76"/>
  <w15:chartTrackingRefBased/>
  <w15:docId w15:val="{64158988-B9C8-4B66-A82C-0D2CE958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67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67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678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678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C67805"/>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C67805"/>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C67805"/>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C67805"/>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C67805"/>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6780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6780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67805"/>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C67805"/>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C67805"/>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C67805"/>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C67805"/>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C67805"/>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C67805"/>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C6780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6780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678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67805"/>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C67805"/>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C67805"/>
    <w:rPr>
      <w:i/>
      <w:iCs/>
      <w:color w:val="404040" w:themeColor="text1" w:themeTint="BF"/>
    </w:rPr>
  </w:style>
  <w:style w:type="paragraph" w:styleId="Paragraphedeliste">
    <w:name w:val="List Paragraph"/>
    <w:basedOn w:val="Normal"/>
    <w:uiPriority w:val="34"/>
    <w:qFormat/>
    <w:rsid w:val="00C67805"/>
    <w:pPr>
      <w:ind w:left="720"/>
      <w:contextualSpacing/>
    </w:pPr>
  </w:style>
  <w:style w:type="character" w:styleId="Accentuationintense">
    <w:name w:val="Intense Emphasis"/>
    <w:basedOn w:val="Policepardfaut"/>
    <w:uiPriority w:val="21"/>
    <w:qFormat/>
    <w:rsid w:val="00C67805"/>
    <w:rPr>
      <w:i/>
      <w:iCs/>
      <w:color w:val="0F4761" w:themeColor="accent1" w:themeShade="BF"/>
    </w:rPr>
  </w:style>
  <w:style w:type="paragraph" w:styleId="Citationintense">
    <w:name w:val="Intense Quote"/>
    <w:basedOn w:val="Normal"/>
    <w:next w:val="Normal"/>
    <w:link w:val="CitationintenseCar"/>
    <w:uiPriority w:val="30"/>
    <w:qFormat/>
    <w:rsid w:val="00C67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67805"/>
    <w:rPr>
      <w:i/>
      <w:iCs/>
      <w:color w:val="0F4761" w:themeColor="accent1" w:themeShade="BF"/>
    </w:rPr>
  </w:style>
  <w:style w:type="character" w:styleId="Rfrenceintense">
    <w:name w:val="Intense Reference"/>
    <w:basedOn w:val="Policepardfaut"/>
    <w:uiPriority w:val="32"/>
    <w:qFormat/>
    <w:rsid w:val="00C67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F43F7-D3C1-4178-897D-90CA3F47B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3270</Words>
  <Characters>17988</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Siquet</dc:creator>
  <cp:keywords/>
  <dc:description/>
  <cp:lastModifiedBy>NG</cp:lastModifiedBy>
  <cp:revision>4</cp:revision>
  <cp:lastPrinted>2024-11-05T13:14:00Z</cp:lastPrinted>
  <dcterms:created xsi:type="dcterms:W3CDTF">2024-11-05T13:11:00Z</dcterms:created>
  <dcterms:modified xsi:type="dcterms:W3CDTF">2024-11-19T12:48:00Z</dcterms:modified>
</cp:coreProperties>
</file>