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56A98" w14:textId="1F02FE9A" w:rsidR="00233F36" w:rsidRPr="000A562A" w:rsidRDefault="00514968" w:rsidP="00786C4F">
      <w:pPr>
        <w:jc w:val="both"/>
        <w:rPr>
          <w:lang w:val="de-DE"/>
        </w:rPr>
      </w:pPr>
      <w:r w:rsidRPr="00514968">
        <w:rPr>
          <w:b/>
          <w:lang w:val="de-DE"/>
        </w:rPr>
        <w:t>8. FEBRUAR 2023 - Gesetz zur Abänderung des Gesetzes vom 18. September 2017 zur Verhinderung von Geldwäsche und Terrorismusfinanzierung und zur Beschränkung der Nutzung von Bargeld</w:t>
      </w:r>
    </w:p>
    <w:p w14:paraId="7F472F0B" w14:textId="77777777" w:rsidR="00233F36" w:rsidRPr="00C80000" w:rsidRDefault="00233F36" w:rsidP="00127CA8">
      <w:pPr>
        <w:jc w:val="both"/>
        <w:rPr>
          <w:lang w:val="de-DE"/>
        </w:rPr>
      </w:pPr>
    </w:p>
    <w:p w14:paraId="68E4B36D" w14:textId="77777777" w:rsidR="00233F36" w:rsidRPr="00C80000" w:rsidRDefault="00233F36">
      <w:pPr>
        <w:rPr>
          <w:lang w:val="de-DE"/>
        </w:rPr>
      </w:pPr>
    </w:p>
    <w:p w14:paraId="28C4554F" w14:textId="13AD08D0"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514968">
        <w:rPr>
          <w:lang w:val="de-DE"/>
        </w:rPr>
        <w:t>18. Dezember 2025</w:t>
      </w:r>
      <w:r w:rsidRPr="00C80000">
        <w:rPr>
          <w:lang w:val="de-DE"/>
        </w:rPr>
        <w:t>)</w:t>
      </w:r>
    </w:p>
    <w:p w14:paraId="0F098315" w14:textId="77777777" w:rsidR="00233F36" w:rsidRPr="00127CA8" w:rsidRDefault="00233F36" w:rsidP="000F5F44">
      <w:pPr>
        <w:jc w:val="center"/>
        <w:rPr>
          <w:lang w:val="de-DE"/>
        </w:rPr>
      </w:pPr>
    </w:p>
    <w:p w14:paraId="7AF665C3" w14:textId="77777777" w:rsidR="00233F36" w:rsidRPr="00C80000" w:rsidRDefault="00233F36" w:rsidP="00CA081B">
      <w:pPr>
        <w:jc w:val="center"/>
        <w:rPr>
          <w:lang w:val="de-DE"/>
        </w:rPr>
      </w:pPr>
    </w:p>
    <w:p w14:paraId="59AADF53"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0B466C2A" w14:textId="77777777" w:rsidR="00E1687C" w:rsidRDefault="00E1687C" w:rsidP="00CA081B">
      <w:pPr>
        <w:jc w:val="both"/>
        <w:rPr>
          <w:lang w:val="de-DE"/>
        </w:rPr>
      </w:pPr>
    </w:p>
    <w:p w14:paraId="27B04826" w14:textId="77777777" w:rsidR="00E1687C" w:rsidRPr="00C80000" w:rsidRDefault="00E1687C" w:rsidP="00CA081B">
      <w:pPr>
        <w:jc w:val="both"/>
        <w:rPr>
          <w:lang w:val="de-DE"/>
        </w:rPr>
      </w:pPr>
    </w:p>
    <w:p w14:paraId="30CC98D2"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6A98C595" w14:textId="77777777" w:rsidR="00514968" w:rsidRPr="00514968" w:rsidRDefault="00514968" w:rsidP="00D468E9">
      <w:pPr>
        <w:jc w:val="center"/>
        <w:rPr>
          <w:b/>
          <w:bCs/>
          <w:lang w:val="de-DE"/>
        </w:rPr>
      </w:pPr>
      <w:r w:rsidRPr="00514968">
        <w:rPr>
          <w:b/>
          <w:lang w:val="de-DE"/>
        </w:rPr>
        <w:lastRenderedPageBreak/>
        <w:t>FÖDERALER ÖFFENTLICHER DIENST FINANZEN</w:t>
      </w:r>
    </w:p>
    <w:p w14:paraId="01E0DDD8" w14:textId="77777777" w:rsidR="00514968" w:rsidRPr="00514968" w:rsidRDefault="00514968" w:rsidP="00F67F0D">
      <w:pPr>
        <w:jc w:val="both"/>
        <w:rPr>
          <w:lang w:val="de-DE"/>
        </w:rPr>
      </w:pPr>
    </w:p>
    <w:p w14:paraId="2AAB4C7C" w14:textId="77777777" w:rsidR="00514968" w:rsidRPr="00514968" w:rsidRDefault="00514968" w:rsidP="00F67F0D">
      <w:pPr>
        <w:jc w:val="both"/>
        <w:rPr>
          <w:lang w:val="de-DE"/>
        </w:rPr>
      </w:pPr>
    </w:p>
    <w:p w14:paraId="08A2008D" w14:textId="77777777" w:rsidR="00514968" w:rsidRPr="00514968" w:rsidRDefault="00514968" w:rsidP="00F67F0D">
      <w:pPr>
        <w:jc w:val="both"/>
        <w:rPr>
          <w:b/>
          <w:bCs/>
          <w:lang w:val="de-DE"/>
        </w:rPr>
      </w:pPr>
      <w:r w:rsidRPr="00514968">
        <w:rPr>
          <w:b/>
          <w:lang w:val="de-DE"/>
        </w:rPr>
        <w:t>8. FEBRUAR 2023 - Gesetz zur Abänderung des Gesetzes vom 18. September 2017 zur Verhinderung von Geldwäsche und Terrorismusfinanzierung und zur Beschränkung der Nutzung von Bargeld</w:t>
      </w:r>
    </w:p>
    <w:p w14:paraId="49FBE0FD" w14:textId="77777777" w:rsidR="00514968" w:rsidRPr="00514968" w:rsidRDefault="00514968" w:rsidP="00F67F0D">
      <w:pPr>
        <w:jc w:val="both"/>
        <w:rPr>
          <w:lang w:val="de-DE"/>
        </w:rPr>
      </w:pPr>
    </w:p>
    <w:p w14:paraId="5EF3137D" w14:textId="77777777" w:rsidR="00514968" w:rsidRPr="00514968" w:rsidRDefault="00514968" w:rsidP="00F67F0D">
      <w:pPr>
        <w:jc w:val="both"/>
        <w:rPr>
          <w:lang w:val="de-DE"/>
        </w:rPr>
      </w:pPr>
    </w:p>
    <w:p w14:paraId="2E3F8A7D" w14:textId="77777777" w:rsidR="00514968" w:rsidRPr="00514968" w:rsidRDefault="00514968" w:rsidP="00D468E9">
      <w:pPr>
        <w:ind w:left="1416" w:firstLine="708"/>
        <w:jc w:val="both"/>
        <w:rPr>
          <w:lang w:val="de-DE"/>
        </w:rPr>
      </w:pPr>
      <w:r w:rsidRPr="00514968">
        <w:rPr>
          <w:lang w:val="de-DE"/>
        </w:rPr>
        <w:t>PHILIPPE, König der Belgier</w:t>
      </w:r>
    </w:p>
    <w:p w14:paraId="56B09C59" w14:textId="77777777" w:rsidR="00514968" w:rsidRPr="00514968" w:rsidRDefault="00514968" w:rsidP="00F67F0D">
      <w:pPr>
        <w:jc w:val="both"/>
        <w:rPr>
          <w:lang w:val="de-DE"/>
        </w:rPr>
      </w:pPr>
    </w:p>
    <w:p w14:paraId="506AF259" w14:textId="77777777" w:rsidR="00514968" w:rsidRPr="00514968" w:rsidRDefault="00514968" w:rsidP="00D468E9">
      <w:pPr>
        <w:ind w:left="708" w:firstLine="708"/>
        <w:jc w:val="both"/>
        <w:rPr>
          <w:lang w:val="de-DE"/>
        </w:rPr>
      </w:pPr>
      <w:r w:rsidRPr="00514968">
        <w:rPr>
          <w:lang w:val="de-DE"/>
        </w:rPr>
        <w:t xml:space="preserve">Allen Gegenwärtigen und </w:t>
      </w:r>
      <w:proofErr w:type="spellStart"/>
      <w:r w:rsidRPr="00514968">
        <w:rPr>
          <w:lang w:val="de-DE"/>
        </w:rPr>
        <w:t>Zukünftigen</w:t>
      </w:r>
      <w:proofErr w:type="spellEnd"/>
      <w:r w:rsidRPr="00514968">
        <w:rPr>
          <w:lang w:val="de-DE"/>
        </w:rPr>
        <w:t>, Unser Gruß!</w:t>
      </w:r>
    </w:p>
    <w:p w14:paraId="31E02F60" w14:textId="77777777" w:rsidR="00514968" w:rsidRPr="00514968" w:rsidRDefault="00514968" w:rsidP="00F67F0D">
      <w:pPr>
        <w:jc w:val="both"/>
        <w:rPr>
          <w:lang w:val="de-DE"/>
        </w:rPr>
      </w:pPr>
    </w:p>
    <w:p w14:paraId="00865710" w14:textId="77777777" w:rsidR="00514968" w:rsidRPr="00514968" w:rsidRDefault="00514968" w:rsidP="00F67F0D">
      <w:pPr>
        <w:jc w:val="both"/>
        <w:rPr>
          <w:lang w:val="de-DE"/>
        </w:rPr>
      </w:pPr>
    </w:p>
    <w:p w14:paraId="3CC6A47B" w14:textId="77777777" w:rsidR="00514968" w:rsidRPr="00514968" w:rsidRDefault="00514968" w:rsidP="00D468E9">
      <w:pPr>
        <w:ind w:firstLine="708"/>
        <w:jc w:val="both"/>
        <w:rPr>
          <w:lang w:val="de-DE"/>
        </w:rPr>
      </w:pPr>
      <w:r w:rsidRPr="00514968">
        <w:rPr>
          <w:lang w:val="de-DE"/>
        </w:rPr>
        <w:t>Die Abgeordnetenkammer hat das Folgende angenommen und Wir sanktionieren es:</w:t>
      </w:r>
    </w:p>
    <w:p w14:paraId="2BA0C7D8" w14:textId="77777777" w:rsidR="00514968" w:rsidRPr="00514968" w:rsidRDefault="00514968" w:rsidP="00F67F0D">
      <w:pPr>
        <w:jc w:val="both"/>
        <w:rPr>
          <w:lang w:val="de-DE"/>
        </w:rPr>
      </w:pPr>
    </w:p>
    <w:p w14:paraId="521F8182" w14:textId="77777777" w:rsidR="00514968" w:rsidRPr="00514968" w:rsidRDefault="00514968" w:rsidP="00F67F0D">
      <w:pPr>
        <w:jc w:val="both"/>
        <w:rPr>
          <w:lang w:val="de-DE"/>
        </w:rPr>
      </w:pPr>
    </w:p>
    <w:p w14:paraId="1DB8427A" w14:textId="77777777" w:rsidR="00514968" w:rsidRPr="00514968" w:rsidRDefault="00514968" w:rsidP="00D468E9">
      <w:pPr>
        <w:jc w:val="center"/>
        <w:rPr>
          <w:lang w:val="de-DE"/>
        </w:rPr>
      </w:pPr>
      <w:r w:rsidRPr="00514968">
        <w:rPr>
          <w:lang w:val="de-DE"/>
        </w:rPr>
        <w:t>KAPITEL 1 - </w:t>
      </w:r>
      <w:r w:rsidRPr="00514968">
        <w:rPr>
          <w:i/>
          <w:lang w:val="de-DE"/>
        </w:rPr>
        <w:t>Allgemeine Bestimmungen</w:t>
      </w:r>
    </w:p>
    <w:p w14:paraId="40DB0B87" w14:textId="77777777" w:rsidR="00514968" w:rsidRPr="00514968" w:rsidRDefault="00514968" w:rsidP="00F67F0D">
      <w:pPr>
        <w:jc w:val="both"/>
        <w:rPr>
          <w:lang w:val="de-DE"/>
        </w:rPr>
      </w:pPr>
    </w:p>
    <w:p w14:paraId="2E55FF47" w14:textId="77777777" w:rsidR="00514968" w:rsidRPr="00514968" w:rsidRDefault="00514968" w:rsidP="00F67F0D">
      <w:pPr>
        <w:jc w:val="both"/>
        <w:rPr>
          <w:lang w:val="de-DE"/>
        </w:rPr>
      </w:pPr>
    </w:p>
    <w:p w14:paraId="342F1A57" w14:textId="77777777" w:rsidR="00514968" w:rsidRPr="00514968" w:rsidRDefault="00514968" w:rsidP="00D468E9">
      <w:pPr>
        <w:ind w:firstLine="708"/>
        <w:jc w:val="both"/>
        <w:rPr>
          <w:lang w:val="de-DE"/>
        </w:rPr>
      </w:pPr>
      <w:r w:rsidRPr="00514968">
        <w:rPr>
          <w:b/>
          <w:bCs/>
          <w:lang w:val="de-DE"/>
        </w:rPr>
        <w:t>Artikel 1 -</w:t>
      </w:r>
      <w:r w:rsidRPr="00514968">
        <w:rPr>
          <w:lang w:val="de-DE"/>
        </w:rPr>
        <w:t xml:space="preserve"> Vorliegendes Gesetz regelt eine in Artikel 74 der Verfassung erwähnte Angelegenheit.</w:t>
      </w:r>
    </w:p>
    <w:p w14:paraId="0E124364" w14:textId="77777777" w:rsidR="00514968" w:rsidRPr="00514968" w:rsidRDefault="00514968" w:rsidP="00F67F0D">
      <w:pPr>
        <w:jc w:val="both"/>
        <w:rPr>
          <w:lang w:val="de-DE"/>
        </w:rPr>
      </w:pPr>
    </w:p>
    <w:p w14:paraId="6DB00740" w14:textId="77777777" w:rsidR="00514968" w:rsidRPr="00514968" w:rsidRDefault="00514968" w:rsidP="00F67F0D">
      <w:pPr>
        <w:jc w:val="both"/>
        <w:rPr>
          <w:lang w:val="de-DE"/>
        </w:rPr>
      </w:pPr>
    </w:p>
    <w:p w14:paraId="15131DBC" w14:textId="77777777" w:rsidR="00514968" w:rsidRPr="00514968" w:rsidRDefault="00514968" w:rsidP="00D468E9">
      <w:pPr>
        <w:ind w:firstLine="708"/>
        <w:jc w:val="both"/>
        <w:rPr>
          <w:lang w:val="de-DE"/>
        </w:rPr>
      </w:pPr>
      <w:r w:rsidRPr="00514968">
        <w:rPr>
          <w:b/>
          <w:lang w:val="de-DE"/>
        </w:rPr>
        <w:t>Art. 2</w:t>
      </w:r>
      <w:r w:rsidRPr="00514968">
        <w:rPr>
          <w:lang w:val="de-DE"/>
        </w:rPr>
        <w:t> - Vorliegendes Gesetz dient der Teilumsetzung der Richtlinie (EU) 2019/2177 des Europäischen Parlaments und des Rates vom 18. Dezember 2019 zur Änderung der Richtlinie 2009/138/EG betreffend die Aufnahme und Ausübung der Versicherungs- und der Rückversicherungstätigkeit (Solvabilität II), der Richtlinie 2014/65/EU über Märkte für Finanzinstrumente, und der Richtlinie (EU) 2015/849 zur Verhinderung der Nutzung des Finanzsystems zum Zwecke der Geldwäsche und der Terrorismusfinanzierung.</w:t>
      </w:r>
    </w:p>
    <w:p w14:paraId="196875F6" w14:textId="77777777" w:rsidR="00514968" w:rsidRPr="00514968" w:rsidRDefault="00514968" w:rsidP="00F67F0D">
      <w:pPr>
        <w:jc w:val="both"/>
        <w:rPr>
          <w:lang w:val="de-DE"/>
        </w:rPr>
      </w:pPr>
    </w:p>
    <w:p w14:paraId="57822ED7" w14:textId="77777777" w:rsidR="00514968" w:rsidRPr="00514968" w:rsidRDefault="00514968" w:rsidP="00F67F0D">
      <w:pPr>
        <w:jc w:val="both"/>
        <w:rPr>
          <w:lang w:val="de-DE"/>
        </w:rPr>
      </w:pPr>
    </w:p>
    <w:p w14:paraId="384BCB18" w14:textId="77777777" w:rsidR="00514968" w:rsidRPr="00514968" w:rsidRDefault="00514968" w:rsidP="00D468E9">
      <w:pPr>
        <w:jc w:val="center"/>
        <w:rPr>
          <w:lang w:val="de-DE"/>
        </w:rPr>
      </w:pPr>
      <w:r w:rsidRPr="00514968">
        <w:rPr>
          <w:lang w:val="de-DE"/>
        </w:rPr>
        <w:t>KAPITEL 2 ­ </w:t>
      </w:r>
      <w:r w:rsidRPr="00514968">
        <w:rPr>
          <w:i/>
          <w:lang w:val="de-DE"/>
        </w:rPr>
        <w:t>Mitteilung des Namens der Koordinierungsorgane</w:t>
      </w:r>
    </w:p>
    <w:p w14:paraId="4EBB1B27" w14:textId="77777777" w:rsidR="00514968" w:rsidRPr="00514968" w:rsidRDefault="00514968" w:rsidP="00F67F0D">
      <w:pPr>
        <w:jc w:val="both"/>
        <w:rPr>
          <w:lang w:val="de-DE"/>
        </w:rPr>
      </w:pPr>
    </w:p>
    <w:p w14:paraId="7B0D9349" w14:textId="77777777" w:rsidR="00514968" w:rsidRPr="00514968" w:rsidRDefault="00514968" w:rsidP="00F67F0D">
      <w:pPr>
        <w:jc w:val="both"/>
        <w:rPr>
          <w:lang w:val="de-DE"/>
        </w:rPr>
      </w:pPr>
    </w:p>
    <w:p w14:paraId="52D85BD8" w14:textId="77777777" w:rsidR="00514968" w:rsidRPr="00514968" w:rsidRDefault="00514968" w:rsidP="00D468E9">
      <w:pPr>
        <w:ind w:firstLine="708"/>
        <w:jc w:val="both"/>
        <w:rPr>
          <w:lang w:val="de-DE"/>
        </w:rPr>
      </w:pPr>
      <w:r w:rsidRPr="00514968">
        <w:rPr>
          <w:b/>
          <w:bCs/>
          <w:lang w:val="de-DE"/>
        </w:rPr>
        <w:t>Art. 3 ­</w:t>
      </w:r>
      <w:r w:rsidRPr="00514968">
        <w:rPr>
          <w:lang w:val="de-DE"/>
        </w:rPr>
        <w:t xml:space="preserve"> Artikel 68 des Gesetzes vom 18. September 2017 zur Verhinderung von Geldwäsche und Terrorismusfinanzierung und zur Beschränkung der Nutzung von Bargeld wird durch einen Absatz mit folgendem Wortlaut ergänzt:</w:t>
      </w:r>
    </w:p>
    <w:p w14:paraId="51483EEA" w14:textId="77777777" w:rsidR="00514968" w:rsidRPr="00514968" w:rsidRDefault="00514968" w:rsidP="00F67F0D">
      <w:pPr>
        <w:jc w:val="both"/>
        <w:rPr>
          <w:lang w:val="de-DE"/>
        </w:rPr>
      </w:pPr>
    </w:p>
    <w:p w14:paraId="5BA281DB" w14:textId="77777777" w:rsidR="00514968" w:rsidRPr="00514968" w:rsidRDefault="00514968" w:rsidP="00D468E9">
      <w:pPr>
        <w:ind w:firstLine="708"/>
        <w:jc w:val="both"/>
        <w:rPr>
          <w:lang w:val="de-DE"/>
        </w:rPr>
      </w:pPr>
      <w:r w:rsidRPr="00514968">
        <w:rPr>
          <w:lang w:val="de-DE"/>
        </w:rPr>
        <w:t xml:space="preserve">"Der Minister der Justiz teilt der Europäischen Kommission, der EBA und den anderen Mitgliedstaaten den Namen der Koordinierungsorgane wie in Artikel 4 Nr. 14 bestimmt mit."  </w:t>
      </w:r>
    </w:p>
    <w:p w14:paraId="045C8927" w14:textId="77777777" w:rsidR="00514968" w:rsidRPr="00514968" w:rsidRDefault="00514968" w:rsidP="00F67F0D">
      <w:pPr>
        <w:jc w:val="both"/>
        <w:rPr>
          <w:lang w:val="de-DE"/>
        </w:rPr>
      </w:pPr>
    </w:p>
    <w:p w14:paraId="6D06416E" w14:textId="77777777" w:rsidR="00514968" w:rsidRPr="00514968" w:rsidRDefault="00514968" w:rsidP="00F67F0D">
      <w:pPr>
        <w:jc w:val="both"/>
        <w:rPr>
          <w:lang w:val="de-DE"/>
        </w:rPr>
      </w:pPr>
    </w:p>
    <w:p w14:paraId="240915DE" w14:textId="77777777" w:rsidR="00514968" w:rsidRPr="00514968" w:rsidRDefault="00514968">
      <w:pPr>
        <w:rPr>
          <w:lang w:val="de-DE"/>
        </w:rPr>
      </w:pPr>
      <w:r w:rsidRPr="00514968">
        <w:rPr>
          <w:lang w:val="de-DE"/>
        </w:rPr>
        <w:br w:type="page"/>
      </w:r>
    </w:p>
    <w:p w14:paraId="0B98B7B3" w14:textId="77777777" w:rsidR="00514968" w:rsidRPr="00514968" w:rsidRDefault="00514968" w:rsidP="00D468E9">
      <w:pPr>
        <w:jc w:val="center"/>
        <w:rPr>
          <w:i/>
          <w:iCs/>
          <w:lang w:val="de-DE"/>
        </w:rPr>
      </w:pPr>
      <w:r w:rsidRPr="00514968">
        <w:rPr>
          <w:lang w:val="de-DE"/>
        </w:rPr>
        <w:t>KAPITEL 3 ­ </w:t>
      </w:r>
      <w:r w:rsidRPr="00514968">
        <w:rPr>
          <w:i/>
          <w:iCs/>
          <w:lang w:val="de-DE"/>
        </w:rPr>
        <w:t>Zwecke</w:t>
      </w:r>
      <w:r w:rsidRPr="00514968">
        <w:rPr>
          <w:lang w:val="de-DE"/>
        </w:rPr>
        <w:t xml:space="preserve"> </w:t>
      </w:r>
      <w:r w:rsidRPr="00514968">
        <w:rPr>
          <w:i/>
          <w:lang w:val="de-DE"/>
        </w:rPr>
        <w:t>und Daten in Bezug auf das UBO-Register</w:t>
      </w:r>
    </w:p>
    <w:p w14:paraId="7CCBFD87" w14:textId="77777777" w:rsidR="00514968" w:rsidRPr="00514968" w:rsidRDefault="00514968" w:rsidP="00F67F0D">
      <w:pPr>
        <w:jc w:val="both"/>
        <w:rPr>
          <w:i/>
          <w:iCs/>
          <w:lang w:val="de-DE"/>
        </w:rPr>
      </w:pPr>
    </w:p>
    <w:p w14:paraId="38CA2A64" w14:textId="77777777" w:rsidR="00514968" w:rsidRPr="00514968" w:rsidRDefault="00514968" w:rsidP="00F67F0D">
      <w:pPr>
        <w:jc w:val="both"/>
        <w:rPr>
          <w:lang w:val="de-DE"/>
        </w:rPr>
      </w:pPr>
    </w:p>
    <w:p w14:paraId="3EC90C07" w14:textId="77777777" w:rsidR="00514968" w:rsidRPr="00514968" w:rsidRDefault="00514968" w:rsidP="00D468E9">
      <w:pPr>
        <w:ind w:firstLine="708"/>
        <w:jc w:val="both"/>
        <w:rPr>
          <w:lang w:val="de-DE"/>
        </w:rPr>
      </w:pPr>
      <w:r w:rsidRPr="00514968">
        <w:rPr>
          <w:b/>
          <w:bCs/>
          <w:lang w:val="de-DE"/>
        </w:rPr>
        <w:t>Art. 4 ­</w:t>
      </w:r>
      <w:r w:rsidRPr="00514968">
        <w:rPr>
          <w:lang w:val="de-DE"/>
        </w:rPr>
        <w:t xml:space="preserve"> In Artikel 74 § 1 desselben Gesetzes, abgeändert durch das Gesetz vom 20. Juli 2020, wird zwischen Absatz 1 und Absatz 2 ein Absatz mit folgendem Wortlaut eingefügt:</w:t>
      </w:r>
    </w:p>
    <w:p w14:paraId="41DF503E" w14:textId="77777777" w:rsidR="00514968" w:rsidRPr="00514968" w:rsidRDefault="00514968" w:rsidP="00F67F0D">
      <w:pPr>
        <w:jc w:val="both"/>
        <w:rPr>
          <w:lang w:val="de-DE"/>
        </w:rPr>
      </w:pPr>
    </w:p>
    <w:p w14:paraId="2F164359" w14:textId="77777777" w:rsidR="00514968" w:rsidRPr="00514968" w:rsidRDefault="00514968" w:rsidP="00D468E9">
      <w:pPr>
        <w:ind w:firstLine="708"/>
        <w:jc w:val="both"/>
        <w:rPr>
          <w:lang w:val="de-DE"/>
        </w:rPr>
      </w:pPr>
      <w:r w:rsidRPr="00514968">
        <w:rPr>
          <w:lang w:val="de-DE"/>
        </w:rPr>
        <w:t>"Die Verarbeitung und Zurverfügungstellung der in Absatz 1 erwähnten Angaben durch das UBO-Register erfolgt zu folgenden Zwecken:</w:t>
      </w:r>
    </w:p>
    <w:p w14:paraId="04228B99" w14:textId="77777777" w:rsidR="00514968" w:rsidRPr="00514968" w:rsidRDefault="00514968" w:rsidP="00F67F0D">
      <w:pPr>
        <w:jc w:val="both"/>
        <w:rPr>
          <w:lang w:val="de-DE"/>
        </w:rPr>
      </w:pPr>
    </w:p>
    <w:p w14:paraId="3C520D07" w14:textId="77777777" w:rsidR="00514968" w:rsidRPr="00514968" w:rsidRDefault="00514968" w:rsidP="00D468E9">
      <w:pPr>
        <w:ind w:firstLine="708"/>
        <w:jc w:val="both"/>
        <w:rPr>
          <w:lang w:val="de-DE"/>
        </w:rPr>
      </w:pPr>
      <w:r w:rsidRPr="00514968">
        <w:rPr>
          <w:lang w:val="de-DE"/>
        </w:rPr>
        <w:t>1. Schutz des Finanzsystems durch Verhütung, Aufdeckung und Ermittlung von Geldwäsche und Terrorismusfinanzierung und damit zusammenhängenden Vortaten wie Korruption, steuerrechtlichen Straftaten und Betrug,</w:t>
      </w:r>
    </w:p>
    <w:p w14:paraId="32CA91F9" w14:textId="77777777" w:rsidR="00514968" w:rsidRPr="00514968" w:rsidRDefault="00514968" w:rsidP="00F67F0D">
      <w:pPr>
        <w:jc w:val="both"/>
        <w:rPr>
          <w:lang w:val="de-DE"/>
        </w:rPr>
      </w:pPr>
    </w:p>
    <w:p w14:paraId="204EBB6D" w14:textId="77777777" w:rsidR="00514968" w:rsidRPr="00514968" w:rsidRDefault="00514968" w:rsidP="00D468E9">
      <w:pPr>
        <w:ind w:firstLine="708"/>
        <w:jc w:val="both"/>
        <w:rPr>
          <w:lang w:val="de-DE"/>
        </w:rPr>
      </w:pPr>
      <w:r w:rsidRPr="00514968">
        <w:rPr>
          <w:lang w:val="de-DE"/>
        </w:rPr>
        <w:t>2. Anwendung und Überwachung der Verpflichtungen in Bezug auf Embargos, das Einfrieren von Vermögenswerten und andere restriktive Maßnahmen, die in den im Rahmen von Kapitel VII der Charta der Vereinten Nationen verabschiedeten Resolutionen des Sicherheitsrates der Vereinten Nationen erwähnt sind, auf die in europäischen Verordnungen, Richtlinien und Beschlüssen sowie in anderen Gesetzesbestimmungen Bezug genommen wird,</w:t>
      </w:r>
    </w:p>
    <w:p w14:paraId="07790065" w14:textId="77777777" w:rsidR="00514968" w:rsidRPr="00514968" w:rsidRDefault="00514968" w:rsidP="00F67F0D">
      <w:pPr>
        <w:jc w:val="both"/>
        <w:rPr>
          <w:lang w:val="de-DE"/>
        </w:rPr>
      </w:pPr>
    </w:p>
    <w:p w14:paraId="4810D438" w14:textId="77777777" w:rsidR="00514968" w:rsidRPr="00514968" w:rsidRDefault="00514968" w:rsidP="00D468E9">
      <w:pPr>
        <w:ind w:firstLine="708"/>
        <w:jc w:val="both"/>
        <w:rPr>
          <w:lang w:val="de-DE"/>
        </w:rPr>
      </w:pPr>
      <w:r w:rsidRPr="00514968">
        <w:rPr>
          <w:lang w:val="de-DE"/>
        </w:rPr>
        <w:t>3. Gewährleistung der Transparenz der in Absatz 1 erwähnten juristischen Einheiten und Rechtsvereinbarungen, um den Missbrauch dieser Körperschaften und Konstruktionen, einschließlich der Steuerumgehung, gegenüber den in Artikel 75 § 2 Absatz 1 Nr. 1 bis 4 erwähnten Behörden und Verpflichteten zu verhindern,</w:t>
      </w:r>
    </w:p>
    <w:p w14:paraId="48AA44A8" w14:textId="77777777" w:rsidR="00514968" w:rsidRPr="00514968" w:rsidRDefault="00514968" w:rsidP="00F67F0D">
      <w:pPr>
        <w:jc w:val="both"/>
        <w:rPr>
          <w:lang w:val="de-DE"/>
        </w:rPr>
      </w:pPr>
    </w:p>
    <w:p w14:paraId="4718B27A" w14:textId="77777777" w:rsidR="00514968" w:rsidRPr="00514968" w:rsidRDefault="00514968" w:rsidP="00D468E9">
      <w:pPr>
        <w:ind w:firstLine="708"/>
        <w:jc w:val="both"/>
        <w:rPr>
          <w:lang w:val="de-DE"/>
        </w:rPr>
      </w:pPr>
      <w:r w:rsidRPr="00514968">
        <w:rPr>
          <w:lang w:val="de-DE"/>
        </w:rPr>
        <w:t xml:space="preserve">4. Identifizierung und Überprüfung der in Artikel 75 § 1 Absatz 1 Nr. 1 bis 6 und in anderen Gesetzesbestimmungen erwähnten Daten von wirtschaftlichen Eigentümern durch die in Artikel 75 § 2 Absatz 1 Nr. 1 bis 4 erwähnten Behörden und Verpflichteten und, gegebenenfalls und soweit ihnen der Zugang gewährt wird, durch die in Artikel 75 § 2 Absatz 1 Nr. 5 und 6 erwähnten natürlichen und juristischen Personen."  </w:t>
      </w:r>
    </w:p>
    <w:p w14:paraId="1983DD2C" w14:textId="77777777" w:rsidR="00514968" w:rsidRPr="00514968" w:rsidRDefault="00514968" w:rsidP="00F67F0D">
      <w:pPr>
        <w:jc w:val="both"/>
        <w:rPr>
          <w:lang w:val="de-DE"/>
        </w:rPr>
      </w:pPr>
    </w:p>
    <w:p w14:paraId="72C89535" w14:textId="77777777" w:rsidR="00514968" w:rsidRPr="00514968" w:rsidRDefault="00514968" w:rsidP="00F67F0D">
      <w:pPr>
        <w:jc w:val="both"/>
        <w:rPr>
          <w:lang w:val="de-DE"/>
        </w:rPr>
      </w:pPr>
    </w:p>
    <w:p w14:paraId="14110340" w14:textId="77777777" w:rsidR="00514968" w:rsidRPr="00514968" w:rsidRDefault="00514968" w:rsidP="00D468E9">
      <w:pPr>
        <w:ind w:firstLine="708"/>
        <w:jc w:val="both"/>
        <w:rPr>
          <w:lang w:val="de-DE"/>
        </w:rPr>
      </w:pPr>
      <w:r w:rsidRPr="00514968">
        <w:rPr>
          <w:b/>
          <w:bCs/>
          <w:lang w:val="de-DE"/>
        </w:rPr>
        <w:t>Art. 5 ­</w:t>
      </w:r>
      <w:r w:rsidRPr="00514968">
        <w:rPr>
          <w:lang w:val="de-DE"/>
        </w:rPr>
        <w:t> Artikel 75 desselben Gesetzes, zuletzt abgeändert durch das Gesetz vom 2. Juni 2021, wird wie folgt ersetzt:</w:t>
      </w:r>
    </w:p>
    <w:p w14:paraId="6BB65E6D" w14:textId="77777777" w:rsidR="00514968" w:rsidRPr="00514968" w:rsidRDefault="00514968" w:rsidP="00F67F0D">
      <w:pPr>
        <w:jc w:val="both"/>
        <w:rPr>
          <w:lang w:val="de-DE"/>
        </w:rPr>
      </w:pPr>
    </w:p>
    <w:p w14:paraId="4E5173EF" w14:textId="77777777" w:rsidR="00514968" w:rsidRPr="00514968" w:rsidRDefault="00514968" w:rsidP="00D468E9">
      <w:pPr>
        <w:ind w:firstLine="708"/>
        <w:jc w:val="both"/>
        <w:rPr>
          <w:lang w:val="de-DE"/>
        </w:rPr>
      </w:pPr>
      <w:r w:rsidRPr="00514968">
        <w:rPr>
          <w:lang w:val="de-DE"/>
        </w:rPr>
        <w:t>"Art. 75 ­ § 1 - Das UBO-Register sammelt und verarbeitet folgende Kategorien personenbezogener Daten von wirtschaftlichen Eigentümern wie in Artikel 74 § 1 Absatz 1 erwähnt:</w:t>
      </w:r>
    </w:p>
    <w:p w14:paraId="25D966E0" w14:textId="77777777" w:rsidR="00514968" w:rsidRPr="00514968" w:rsidRDefault="00514968" w:rsidP="00F67F0D">
      <w:pPr>
        <w:jc w:val="both"/>
        <w:rPr>
          <w:lang w:val="de-DE"/>
        </w:rPr>
      </w:pPr>
    </w:p>
    <w:p w14:paraId="204C6B0E" w14:textId="77777777" w:rsidR="00514968" w:rsidRPr="00514968" w:rsidRDefault="00514968" w:rsidP="00D468E9">
      <w:pPr>
        <w:ind w:firstLine="708"/>
        <w:jc w:val="both"/>
        <w:rPr>
          <w:lang w:val="de-DE"/>
        </w:rPr>
      </w:pPr>
      <w:r w:rsidRPr="00514968">
        <w:rPr>
          <w:lang w:val="de-DE"/>
        </w:rPr>
        <w:t>1. Identifikationsdaten,</w:t>
      </w:r>
    </w:p>
    <w:p w14:paraId="2EB3BD19" w14:textId="77777777" w:rsidR="00514968" w:rsidRPr="00514968" w:rsidRDefault="00514968" w:rsidP="00F67F0D">
      <w:pPr>
        <w:jc w:val="both"/>
        <w:rPr>
          <w:lang w:val="de-DE"/>
        </w:rPr>
      </w:pPr>
    </w:p>
    <w:p w14:paraId="406A26B9" w14:textId="77777777" w:rsidR="00514968" w:rsidRPr="00514968" w:rsidRDefault="00514968" w:rsidP="00D468E9">
      <w:pPr>
        <w:ind w:firstLine="708"/>
        <w:jc w:val="both"/>
        <w:rPr>
          <w:lang w:val="de-DE"/>
        </w:rPr>
      </w:pPr>
      <w:r w:rsidRPr="00514968">
        <w:rPr>
          <w:lang w:val="de-DE"/>
        </w:rPr>
        <w:t>2. Kontakt- und Wohnsitzdaten,</w:t>
      </w:r>
    </w:p>
    <w:p w14:paraId="435C5B5A" w14:textId="77777777" w:rsidR="00514968" w:rsidRPr="00514968" w:rsidRDefault="00514968" w:rsidP="00F67F0D">
      <w:pPr>
        <w:jc w:val="both"/>
        <w:rPr>
          <w:lang w:val="de-DE"/>
        </w:rPr>
      </w:pPr>
    </w:p>
    <w:p w14:paraId="492964DC" w14:textId="77777777" w:rsidR="00514968" w:rsidRPr="00514968" w:rsidRDefault="00514968" w:rsidP="00D468E9">
      <w:pPr>
        <w:ind w:firstLine="708"/>
        <w:jc w:val="both"/>
        <w:rPr>
          <w:lang w:val="de-DE"/>
        </w:rPr>
      </w:pPr>
      <w:r w:rsidRPr="00514968">
        <w:rPr>
          <w:lang w:val="de-DE"/>
        </w:rPr>
        <w:t>3. Kategorie(n) von wirtschaftlichen Eigentümern, der/denen er angehört:</w:t>
      </w:r>
    </w:p>
    <w:p w14:paraId="540F2B9B" w14:textId="77777777" w:rsidR="00514968" w:rsidRPr="00514968" w:rsidRDefault="00514968" w:rsidP="00F67F0D">
      <w:pPr>
        <w:jc w:val="both"/>
        <w:rPr>
          <w:lang w:val="de-DE"/>
        </w:rPr>
      </w:pPr>
    </w:p>
    <w:p w14:paraId="6508B16C" w14:textId="77777777" w:rsidR="00514968" w:rsidRPr="00514968" w:rsidRDefault="00514968" w:rsidP="00D468E9">
      <w:pPr>
        <w:ind w:firstLine="708"/>
        <w:jc w:val="both"/>
        <w:rPr>
          <w:lang w:val="de-DE"/>
        </w:rPr>
      </w:pPr>
      <w:r w:rsidRPr="00514968">
        <w:rPr>
          <w:i/>
          <w:iCs/>
          <w:lang w:val="de-DE"/>
        </w:rPr>
        <w:t>a)</w:t>
      </w:r>
      <w:r w:rsidRPr="00514968">
        <w:rPr>
          <w:lang w:val="de-DE"/>
        </w:rPr>
        <w:t> bei einer Gesellschaft:</w:t>
      </w:r>
    </w:p>
    <w:p w14:paraId="198B6D74" w14:textId="77777777" w:rsidR="00514968" w:rsidRPr="00514968" w:rsidRDefault="00514968" w:rsidP="00F67F0D">
      <w:pPr>
        <w:jc w:val="both"/>
        <w:rPr>
          <w:lang w:val="de-DE"/>
        </w:rPr>
      </w:pPr>
    </w:p>
    <w:p w14:paraId="14F2C03A" w14:textId="77777777" w:rsidR="00514968" w:rsidRPr="00514968" w:rsidRDefault="00514968" w:rsidP="00D468E9">
      <w:pPr>
        <w:ind w:firstLine="708"/>
        <w:jc w:val="both"/>
        <w:rPr>
          <w:lang w:val="de-DE"/>
        </w:rPr>
      </w:pPr>
      <w:r w:rsidRPr="00514968">
        <w:rPr>
          <w:lang w:val="de-DE"/>
        </w:rPr>
        <w:t>i) Kategorie(n) von Personen wie in Artikel 4 Nr. 27 Absatz 2 Buchstabe </w:t>
      </w:r>
      <w:r w:rsidRPr="00514968">
        <w:rPr>
          <w:i/>
          <w:iCs/>
          <w:lang w:val="de-DE"/>
        </w:rPr>
        <w:t>a)</w:t>
      </w:r>
      <w:r w:rsidRPr="00514968">
        <w:rPr>
          <w:lang w:val="de-DE"/>
        </w:rPr>
        <w:t xml:space="preserve"> erwähnt,</w:t>
      </w:r>
    </w:p>
    <w:p w14:paraId="3FC536AE" w14:textId="77777777" w:rsidR="00514968" w:rsidRPr="00514968" w:rsidRDefault="00514968" w:rsidP="00F67F0D">
      <w:pPr>
        <w:jc w:val="both"/>
        <w:rPr>
          <w:lang w:val="de-DE"/>
        </w:rPr>
      </w:pPr>
    </w:p>
    <w:p w14:paraId="0BCF813D" w14:textId="77777777" w:rsidR="00514968" w:rsidRPr="00514968" w:rsidRDefault="00514968" w:rsidP="00D468E9">
      <w:pPr>
        <w:ind w:firstLine="708"/>
        <w:jc w:val="both"/>
        <w:rPr>
          <w:lang w:val="de-DE"/>
        </w:rPr>
      </w:pPr>
      <w:r w:rsidRPr="00514968">
        <w:rPr>
          <w:lang w:val="de-DE"/>
        </w:rPr>
        <w:t>ii) ob es sich um eine Person handelt, die allein oder zusammen mit anderen Personen eine der in Artikel 4 Nr. 27 Absatz 2 Buchstabe </w:t>
      </w:r>
      <w:r w:rsidRPr="00514968">
        <w:rPr>
          <w:i/>
          <w:iCs/>
          <w:lang w:val="de-DE"/>
        </w:rPr>
        <w:t>a)</w:t>
      </w:r>
      <w:r w:rsidRPr="00514968">
        <w:rPr>
          <w:lang w:val="de-DE"/>
        </w:rPr>
        <w:t xml:space="preserve"> genannten Bedingungen erfüllt,</w:t>
      </w:r>
    </w:p>
    <w:p w14:paraId="329DB456" w14:textId="77777777" w:rsidR="00514968" w:rsidRPr="00514968" w:rsidRDefault="00514968" w:rsidP="00F67F0D">
      <w:pPr>
        <w:jc w:val="both"/>
        <w:rPr>
          <w:lang w:val="de-DE"/>
        </w:rPr>
      </w:pPr>
    </w:p>
    <w:p w14:paraId="671C2367" w14:textId="77777777" w:rsidR="00514968" w:rsidRPr="00514968" w:rsidRDefault="00514968" w:rsidP="00D468E9">
      <w:pPr>
        <w:ind w:firstLine="708"/>
        <w:jc w:val="both"/>
        <w:rPr>
          <w:lang w:val="de-DE"/>
        </w:rPr>
      </w:pPr>
      <w:r w:rsidRPr="00514968">
        <w:rPr>
          <w:lang w:val="de-DE"/>
        </w:rPr>
        <w:t>iii) ob es sich um einen direkten oder indirekten wirtschaftlichen Eigentümer handelt,</w:t>
      </w:r>
    </w:p>
    <w:p w14:paraId="3D87104B" w14:textId="77777777" w:rsidR="00514968" w:rsidRPr="00514968" w:rsidRDefault="00514968" w:rsidP="00F67F0D">
      <w:pPr>
        <w:jc w:val="both"/>
        <w:rPr>
          <w:lang w:val="de-DE"/>
        </w:rPr>
      </w:pPr>
    </w:p>
    <w:p w14:paraId="0188D9FA" w14:textId="77777777" w:rsidR="00514968" w:rsidRPr="00514968" w:rsidRDefault="00514968" w:rsidP="00D468E9">
      <w:pPr>
        <w:ind w:firstLine="708"/>
        <w:jc w:val="both"/>
        <w:rPr>
          <w:lang w:val="de-DE"/>
        </w:rPr>
      </w:pPr>
      <w:r w:rsidRPr="00514968">
        <w:rPr>
          <w:i/>
          <w:iCs/>
          <w:lang w:val="de-DE"/>
        </w:rPr>
        <w:t>b)</w:t>
      </w:r>
      <w:r w:rsidRPr="00514968">
        <w:rPr>
          <w:lang w:val="de-DE"/>
        </w:rPr>
        <w:t> bei einer Vereinigung ohne Gewinnerzielungsabsicht, einer internationalen Vereinigung ohne Gewinnerzielungsabsicht oder einer Stiftung:</w:t>
      </w:r>
    </w:p>
    <w:p w14:paraId="7A1EFF4B" w14:textId="77777777" w:rsidR="00514968" w:rsidRPr="00514968" w:rsidRDefault="00514968" w:rsidP="00F67F0D">
      <w:pPr>
        <w:jc w:val="both"/>
        <w:rPr>
          <w:lang w:val="de-DE"/>
        </w:rPr>
      </w:pPr>
    </w:p>
    <w:p w14:paraId="1234D849" w14:textId="77777777" w:rsidR="00514968" w:rsidRPr="00514968" w:rsidRDefault="00514968" w:rsidP="00D468E9">
      <w:pPr>
        <w:ind w:firstLine="708"/>
        <w:jc w:val="both"/>
        <w:rPr>
          <w:lang w:val="de-DE"/>
        </w:rPr>
      </w:pPr>
      <w:r w:rsidRPr="00514968">
        <w:rPr>
          <w:lang w:val="de-DE"/>
        </w:rPr>
        <w:t>i) Kategorie(n) von Personen wie in Artikel 4 Nr. 27 Absatz 2 Buchstabe </w:t>
      </w:r>
      <w:r w:rsidRPr="00514968">
        <w:rPr>
          <w:i/>
          <w:iCs/>
          <w:lang w:val="de-DE"/>
        </w:rPr>
        <w:t>c)</w:t>
      </w:r>
      <w:r w:rsidRPr="00514968">
        <w:rPr>
          <w:lang w:val="de-DE"/>
        </w:rPr>
        <w:t xml:space="preserve"> erwähnt,</w:t>
      </w:r>
    </w:p>
    <w:p w14:paraId="105A2717" w14:textId="77777777" w:rsidR="00514968" w:rsidRPr="00514968" w:rsidRDefault="00514968" w:rsidP="00F67F0D">
      <w:pPr>
        <w:jc w:val="both"/>
        <w:rPr>
          <w:lang w:val="de-DE"/>
        </w:rPr>
      </w:pPr>
    </w:p>
    <w:p w14:paraId="6D9A442A" w14:textId="77777777" w:rsidR="00514968" w:rsidRPr="00514968" w:rsidRDefault="00514968" w:rsidP="00D468E9">
      <w:pPr>
        <w:ind w:firstLine="708"/>
        <w:jc w:val="both"/>
        <w:rPr>
          <w:lang w:val="de-DE"/>
        </w:rPr>
      </w:pPr>
      <w:r w:rsidRPr="00514968">
        <w:rPr>
          <w:lang w:val="de-DE"/>
        </w:rPr>
        <w:t>ii) eine oder mehrere Kategorien von Personen wie in Artikel 4 Nr. 27 Absatz 2 Buchstabe </w:t>
      </w:r>
      <w:r w:rsidRPr="00514968">
        <w:rPr>
          <w:i/>
          <w:iCs/>
          <w:lang w:val="de-DE"/>
        </w:rPr>
        <w:t>c)</w:t>
      </w:r>
      <w:r w:rsidRPr="00514968">
        <w:rPr>
          <w:lang w:val="de-DE"/>
        </w:rPr>
        <w:t xml:space="preserve"> erwähnt, denen er allein oder zusammen mit anderen Personen angehört,</w:t>
      </w:r>
    </w:p>
    <w:p w14:paraId="523602E8" w14:textId="77777777" w:rsidR="00514968" w:rsidRPr="00514968" w:rsidRDefault="00514968" w:rsidP="00F67F0D">
      <w:pPr>
        <w:jc w:val="both"/>
        <w:rPr>
          <w:lang w:val="de-DE"/>
        </w:rPr>
      </w:pPr>
    </w:p>
    <w:p w14:paraId="7D1A5DA9" w14:textId="77777777" w:rsidR="00514968" w:rsidRPr="00514968" w:rsidRDefault="00514968" w:rsidP="00D468E9">
      <w:pPr>
        <w:ind w:firstLine="708"/>
        <w:jc w:val="both"/>
        <w:rPr>
          <w:lang w:val="de-DE"/>
        </w:rPr>
      </w:pPr>
      <w:r w:rsidRPr="00514968">
        <w:rPr>
          <w:i/>
          <w:iCs/>
          <w:lang w:val="de-DE"/>
        </w:rPr>
        <w:t>c)</w:t>
      </w:r>
      <w:r w:rsidRPr="00514968">
        <w:rPr>
          <w:lang w:val="de-DE"/>
        </w:rPr>
        <w:t> bei einem Trust, einer Treuhandgesellschaft oder einer ähnlichen Rechtsvereinbarung Kategorie(n) von wirtschaftlichen Eigentümern wie in Artikel 4 Nr. 27 Absatz 2 Buchstabe </w:t>
      </w:r>
      <w:r w:rsidRPr="00514968">
        <w:rPr>
          <w:i/>
          <w:iCs/>
          <w:lang w:val="de-DE"/>
        </w:rPr>
        <w:t>d)</w:t>
      </w:r>
      <w:r w:rsidRPr="00514968">
        <w:rPr>
          <w:lang w:val="de-DE"/>
        </w:rPr>
        <w:t xml:space="preserve"> erwähnt,</w:t>
      </w:r>
    </w:p>
    <w:p w14:paraId="7788255C" w14:textId="77777777" w:rsidR="00514968" w:rsidRPr="00514968" w:rsidRDefault="00514968" w:rsidP="00F67F0D">
      <w:pPr>
        <w:jc w:val="both"/>
        <w:rPr>
          <w:lang w:val="de-DE"/>
        </w:rPr>
      </w:pPr>
    </w:p>
    <w:p w14:paraId="3D0E3C20" w14:textId="77777777" w:rsidR="00514968" w:rsidRPr="00514968" w:rsidRDefault="00514968" w:rsidP="00D468E9">
      <w:pPr>
        <w:ind w:firstLine="708"/>
        <w:jc w:val="both"/>
        <w:rPr>
          <w:lang w:val="de-DE"/>
        </w:rPr>
      </w:pPr>
      <w:r w:rsidRPr="00514968">
        <w:rPr>
          <w:lang w:val="de-DE"/>
        </w:rPr>
        <w:t>4. Art und Umfang des wirtschaftlichen Interesses an den in Artikel 74 § 1 Absatz 1 erwähnten Körperschaften und Konstruktionen oder Art und Umfang der Kontrolle über diese Körperschaften und Konstruktionen,</w:t>
      </w:r>
    </w:p>
    <w:p w14:paraId="66255B49" w14:textId="77777777" w:rsidR="00514968" w:rsidRPr="00514968" w:rsidRDefault="00514968" w:rsidP="00F67F0D">
      <w:pPr>
        <w:jc w:val="both"/>
        <w:rPr>
          <w:lang w:val="de-DE"/>
        </w:rPr>
      </w:pPr>
    </w:p>
    <w:p w14:paraId="422BDA2F" w14:textId="77777777" w:rsidR="00514968" w:rsidRPr="00514968" w:rsidRDefault="00514968" w:rsidP="00D468E9">
      <w:pPr>
        <w:ind w:firstLine="708"/>
        <w:jc w:val="both"/>
        <w:rPr>
          <w:lang w:val="de-DE"/>
        </w:rPr>
      </w:pPr>
      <w:r w:rsidRPr="00514968">
        <w:rPr>
          <w:lang w:val="de-DE"/>
        </w:rPr>
        <w:t>5. Datum, an dem er zum wirtschaftlichen Eigentümer der in Artikel 74 § 1 Absatz 1 erwähnten Körperschaft oder Konstruktion geworden ist,</w:t>
      </w:r>
    </w:p>
    <w:p w14:paraId="275E0EAC" w14:textId="77777777" w:rsidR="00514968" w:rsidRPr="00514968" w:rsidRDefault="00514968" w:rsidP="00F67F0D">
      <w:pPr>
        <w:jc w:val="both"/>
        <w:rPr>
          <w:lang w:val="de-DE"/>
        </w:rPr>
      </w:pPr>
    </w:p>
    <w:p w14:paraId="5E65AEE7" w14:textId="77777777" w:rsidR="00514968" w:rsidRPr="00514968" w:rsidRDefault="00514968" w:rsidP="00D468E9">
      <w:pPr>
        <w:ind w:firstLine="708"/>
        <w:jc w:val="both"/>
        <w:rPr>
          <w:lang w:val="de-DE"/>
        </w:rPr>
      </w:pPr>
      <w:r w:rsidRPr="00514968">
        <w:rPr>
          <w:lang w:val="de-DE"/>
        </w:rPr>
        <w:t>6. wenn es sich um einen indirekten wirtschaftlichen Eigentümer handelt, Identifikationsdaten der Vermittler.</w:t>
      </w:r>
    </w:p>
    <w:p w14:paraId="7DF3CCA0" w14:textId="77777777" w:rsidR="00514968" w:rsidRPr="00514968" w:rsidRDefault="00514968" w:rsidP="00F67F0D">
      <w:pPr>
        <w:jc w:val="both"/>
        <w:rPr>
          <w:lang w:val="de-DE"/>
        </w:rPr>
      </w:pPr>
    </w:p>
    <w:p w14:paraId="0CFE07DF" w14:textId="77777777" w:rsidR="00514968" w:rsidRPr="00514968" w:rsidRDefault="00514968" w:rsidP="00D468E9">
      <w:pPr>
        <w:ind w:firstLine="708"/>
        <w:jc w:val="both"/>
        <w:rPr>
          <w:lang w:val="de-DE"/>
        </w:rPr>
      </w:pPr>
      <w:r w:rsidRPr="00514968">
        <w:rPr>
          <w:lang w:val="de-DE"/>
        </w:rPr>
        <w:t>Die Angaben werden dem UBO-Register gemäß Artikel 1:35 des Gesetzbuches der Gesellschaften und Vereinigungen elektronisch übermittelt.</w:t>
      </w:r>
    </w:p>
    <w:p w14:paraId="08809F4D" w14:textId="77777777" w:rsidR="00514968" w:rsidRPr="00514968" w:rsidRDefault="00514968" w:rsidP="00F67F0D">
      <w:pPr>
        <w:jc w:val="both"/>
        <w:rPr>
          <w:lang w:val="de-DE"/>
        </w:rPr>
      </w:pPr>
    </w:p>
    <w:p w14:paraId="496C03AC" w14:textId="77777777" w:rsidR="00514968" w:rsidRPr="00514968" w:rsidRDefault="00514968" w:rsidP="00D468E9">
      <w:pPr>
        <w:ind w:firstLine="708"/>
        <w:jc w:val="both"/>
        <w:rPr>
          <w:lang w:val="de-DE"/>
        </w:rPr>
      </w:pPr>
      <w:r w:rsidRPr="00514968">
        <w:rPr>
          <w:lang w:val="de-DE"/>
        </w:rPr>
        <w:t>In Absatz 1 erwähnte Angaben und alle Angaben und Unterlagen, die das UBO-Register erhält, werden für eine Dauer von höchstens zehn Jahren ab dem Tag des Verlusts der Rechtspersönlichkeit der in Artikel 74 § 1 Absatz 1 erwähnten Körperschaften oder der definitiven Einstellung ihrer Tätigkeiten aufbewahrt.</w:t>
      </w:r>
    </w:p>
    <w:p w14:paraId="4FD5A7E3" w14:textId="77777777" w:rsidR="00514968" w:rsidRPr="00514968" w:rsidRDefault="00514968" w:rsidP="00F67F0D">
      <w:pPr>
        <w:jc w:val="both"/>
        <w:rPr>
          <w:lang w:val="de-DE"/>
        </w:rPr>
      </w:pPr>
    </w:p>
    <w:p w14:paraId="52969777" w14:textId="77777777" w:rsidR="00514968" w:rsidRPr="00514968" w:rsidRDefault="00514968" w:rsidP="00D468E9">
      <w:pPr>
        <w:ind w:firstLine="708"/>
        <w:jc w:val="both"/>
        <w:rPr>
          <w:lang w:val="de-DE"/>
        </w:rPr>
      </w:pPr>
      <w:r w:rsidRPr="00514968">
        <w:rPr>
          <w:lang w:val="de-DE"/>
        </w:rPr>
        <w:t>Der König bestimmt durch einen im Ministerrat beratenen Erlass die Weise, wie die Angaben gesammelt werden, den Inhalt der gesammelten Angaben, die Weise, wie die Daten verwaltet werden, wie auf sie zugegriffen wird und wie sie genutzt werden, die Modalitäten für die Überprüfung der Daten und die Betriebsweise des UBO-Registers.</w:t>
      </w:r>
    </w:p>
    <w:p w14:paraId="763D8E90" w14:textId="77777777" w:rsidR="00514968" w:rsidRPr="00514968" w:rsidRDefault="00514968" w:rsidP="00F67F0D">
      <w:pPr>
        <w:jc w:val="both"/>
        <w:rPr>
          <w:lang w:val="de-DE"/>
        </w:rPr>
      </w:pPr>
    </w:p>
    <w:p w14:paraId="32931E74" w14:textId="77777777" w:rsidR="00514968" w:rsidRPr="00514968" w:rsidRDefault="00514968" w:rsidP="00D468E9">
      <w:pPr>
        <w:ind w:firstLine="708"/>
        <w:jc w:val="both"/>
        <w:rPr>
          <w:lang w:val="de-DE"/>
        </w:rPr>
      </w:pPr>
      <w:r w:rsidRPr="00514968">
        <w:rPr>
          <w:lang w:val="de-DE"/>
        </w:rPr>
        <w:t>§ 2 ­ Die im UBO-Register enthaltenen Angaben sind zugänglich gemäß vorliegendem Gesetz und anderen Gesetzesbestimmungen und in Anwendung der Modalitäten in Bezug auf den Zugang für:</w:t>
      </w:r>
    </w:p>
    <w:p w14:paraId="51041098" w14:textId="77777777" w:rsidR="00514968" w:rsidRPr="00514968" w:rsidRDefault="00514968" w:rsidP="00F67F0D">
      <w:pPr>
        <w:jc w:val="both"/>
        <w:rPr>
          <w:lang w:val="de-DE"/>
        </w:rPr>
      </w:pPr>
    </w:p>
    <w:p w14:paraId="23FD89DC" w14:textId="77777777" w:rsidR="00514968" w:rsidRPr="00514968" w:rsidRDefault="00514968" w:rsidP="00D468E9">
      <w:pPr>
        <w:ind w:firstLine="708"/>
        <w:jc w:val="both"/>
        <w:rPr>
          <w:lang w:val="de-DE"/>
        </w:rPr>
      </w:pPr>
      <w:r w:rsidRPr="00514968">
        <w:rPr>
          <w:lang w:val="de-DE"/>
        </w:rPr>
        <w:t>1. die in Artikel 4 Nr. 17/1 bestimmten zuständigen Behörden, zeitnah und ohne Einschränkung,</w:t>
      </w:r>
    </w:p>
    <w:p w14:paraId="509E9350" w14:textId="77777777" w:rsidR="00514968" w:rsidRPr="00514968" w:rsidRDefault="00514968" w:rsidP="00F67F0D">
      <w:pPr>
        <w:jc w:val="both"/>
        <w:rPr>
          <w:lang w:val="de-DE"/>
        </w:rPr>
      </w:pPr>
    </w:p>
    <w:p w14:paraId="6E864E75" w14:textId="77777777" w:rsidR="00514968" w:rsidRPr="00514968" w:rsidRDefault="00514968" w:rsidP="00D468E9">
      <w:pPr>
        <w:ind w:firstLine="708"/>
        <w:jc w:val="both"/>
        <w:rPr>
          <w:lang w:val="de-DE"/>
        </w:rPr>
      </w:pPr>
      <w:r w:rsidRPr="00514968">
        <w:rPr>
          <w:lang w:val="de-DE"/>
        </w:rPr>
        <w:t>2. die Behörden, die zuständig sind für die Anwendung und Überwachung der Verpflichtungen in Bezug auf Embargos, das Einfrieren von Vermögenswerten und andere restriktive Maßnahmen, die in den im Rahmen von Kapitel VII der Charta der Vereinten Nationen verabschiedeten Resolutionen des Sicherheitsrates der Vereinten Nationen erwähnt sind, auf die in europäischen Verordnungen, Richtlinien und Beschlüssen sowie in anderen Gesetzesbestimmungen Bezug genommen wird, zeitnah und ohne Einschränkung,</w:t>
      </w:r>
    </w:p>
    <w:p w14:paraId="317CDC03" w14:textId="77777777" w:rsidR="00514968" w:rsidRPr="00514968" w:rsidRDefault="00514968" w:rsidP="00F67F0D">
      <w:pPr>
        <w:jc w:val="both"/>
        <w:rPr>
          <w:lang w:val="de-DE"/>
        </w:rPr>
      </w:pPr>
    </w:p>
    <w:p w14:paraId="1E111C29" w14:textId="77777777" w:rsidR="00514968" w:rsidRPr="00514968" w:rsidRDefault="00514968" w:rsidP="00D468E9">
      <w:pPr>
        <w:ind w:firstLine="708"/>
        <w:jc w:val="both"/>
        <w:rPr>
          <w:lang w:val="de-DE"/>
        </w:rPr>
      </w:pPr>
      <w:r w:rsidRPr="00514968">
        <w:rPr>
          <w:lang w:val="de-DE"/>
        </w:rPr>
        <w:t>3. die der Föderalbehörde oder den Gemeinschaften und Regionen unterstehenden Behörden, die damit beauftragt sind, wirtschaftliche Eigentümer wie in den europäischen Verordnungen, in Artikel 4 Nr. 27 des vorliegenden Gesetzes oder in anderen Gesetzesbestimmungen bestimmt zu ermitteln oder zu überwachen, um den ihnen aufgrund dieser Verordnungen und Gesetzesbestimmungen obliegenden Verpflichtungen nachzukommen, zeitnah und ohne Einschränkung,</w:t>
      </w:r>
    </w:p>
    <w:p w14:paraId="117205CC" w14:textId="77777777" w:rsidR="00514968" w:rsidRPr="00514968" w:rsidRDefault="00514968" w:rsidP="00F67F0D">
      <w:pPr>
        <w:jc w:val="both"/>
        <w:rPr>
          <w:lang w:val="de-DE"/>
        </w:rPr>
      </w:pPr>
    </w:p>
    <w:p w14:paraId="5E551FBA" w14:textId="77777777" w:rsidR="00514968" w:rsidRPr="00514968" w:rsidRDefault="00514968" w:rsidP="00D468E9">
      <w:pPr>
        <w:ind w:firstLine="708"/>
        <w:jc w:val="both"/>
        <w:rPr>
          <w:lang w:val="de-DE"/>
        </w:rPr>
      </w:pPr>
      <w:r w:rsidRPr="00514968">
        <w:rPr>
          <w:lang w:val="de-DE"/>
        </w:rPr>
        <w:t>4. die in Artikel 5 §§ 1 und 2 erwähnten Verpflichteten, zeitnah und im Rahmen der Erfüllung ihrer Sorgfaltspflichten gegenüber Kunden,</w:t>
      </w:r>
    </w:p>
    <w:p w14:paraId="02AEFA64" w14:textId="77777777" w:rsidR="00514968" w:rsidRPr="00514968" w:rsidRDefault="00514968" w:rsidP="00F67F0D">
      <w:pPr>
        <w:jc w:val="both"/>
        <w:rPr>
          <w:lang w:val="de-DE"/>
        </w:rPr>
      </w:pPr>
    </w:p>
    <w:p w14:paraId="0DC87D50" w14:textId="77777777" w:rsidR="00514968" w:rsidRPr="00514968" w:rsidRDefault="00514968" w:rsidP="00D468E9">
      <w:pPr>
        <w:ind w:firstLine="708"/>
        <w:jc w:val="both"/>
        <w:rPr>
          <w:lang w:val="de-DE"/>
        </w:rPr>
      </w:pPr>
      <w:r w:rsidRPr="00514968">
        <w:rPr>
          <w:lang w:val="de-DE"/>
        </w:rPr>
        <w:t>5. alle natürlichen oder juristischen Personen, die ein berechtigtes Interesse nachweisen können, was die vom König gemäß § 1 Absatz 4 bestimmten Daten betrifft,</w:t>
      </w:r>
    </w:p>
    <w:p w14:paraId="5F7C1545" w14:textId="77777777" w:rsidR="00514968" w:rsidRPr="00514968" w:rsidRDefault="00514968" w:rsidP="00F67F0D">
      <w:pPr>
        <w:jc w:val="both"/>
        <w:rPr>
          <w:lang w:val="de-DE"/>
        </w:rPr>
      </w:pPr>
    </w:p>
    <w:p w14:paraId="3648D32E" w14:textId="77777777" w:rsidR="00514968" w:rsidRPr="00514968" w:rsidRDefault="00514968" w:rsidP="00D468E9">
      <w:pPr>
        <w:ind w:firstLine="708"/>
        <w:jc w:val="both"/>
        <w:rPr>
          <w:lang w:val="de-DE"/>
        </w:rPr>
      </w:pPr>
      <w:r w:rsidRPr="00514968">
        <w:rPr>
          <w:lang w:val="de-DE"/>
        </w:rPr>
        <w:t>6. alle natürlichen oder juristischen Personen, die bei der Verwaltung des Schatzamtes einen schriftlichen Antrag in Bezug auf einen Trust, eine Treuhandgesellschaft oder eine ähnliche Rechtsvereinbarung stellen, die eine Gesellschaft oder eine juristische Person mit Ausnahme der in Artikel 1:33 des Gesetzbuches der Gesellschaften und Vereinigungen genannten oder eine andere juristische Einheit durch direkte oder indirekte Eigentumsrechte einschließlich in Form von Inhaberaktien oder durch andere Formen der Kontrolle kontrollieren, was die vom König gemäß § 1 Absatz 4 bestimmten Daten betrifft.</w:t>
      </w:r>
    </w:p>
    <w:p w14:paraId="22DA60C2" w14:textId="77777777" w:rsidR="00514968" w:rsidRPr="00514968" w:rsidRDefault="00514968" w:rsidP="00F67F0D">
      <w:pPr>
        <w:jc w:val="both"/>
        <w:rPr>
          <w:lang w:val="de-DE"/>
        </w:rPr>
      </w:pPr>
    </w:p>
    <w:p w14:paraId="2EBEAC2C" w14:textId="77777777" w:rsidR="00514968" w:rsidRPr="00514968" w:rsidRDefault="00514968" w:rsidP="00D468E9">
      <w:pPr>
        <w:ind w:firstLine="708"/>
        <w:jc w:val="both"/>
        <w:rPr>
          <w:lang w:val="de-DE"/>
        </w:rPr>
      </w:pPr>
      <w:r w:rsidRPr="00514968">
        <w:rPr>
          <w:lang w:val="de-DE"/>
        </w:rPr>
        <w:t>Die Einsichtnahme in das UBO-Register ist kostenlos."</w:t>
      </w:r>
    </w:p>
    <w:p w14:paraId="63DFE894" w14:textId="77777777" w:rsidR="00514968" w:rsidRPr="00514968" w:rsidRDefault="00514968" w:rsidP="00F67F0D">
      <w:pPr>
        <w:jc w:val="both"/>
        <w:rPr>
          <w:lang w:val="de-DE"/>
        </w:rPr>
      </w:pPr>
    </w:p>
    <w:p w14:paraId="1FEA5261" w14:textId="77777777" w:rsidR="00514968" w:rsidRPr="00514968" w:rsidRDefault="00514968" w:rsidP="00F67F0D">
      <w:pPr>
        <w:jc w:val="both"/>
        <w:rPr>
          <w:lang w:val="de-DE"/>
        </w:rPr>
      </w:pPr>
    </w:p>
    <w:p w14:paraId="7B671A31" w14:textId="77777777" w:rsidR="00514968" w:rsidRPr="00514968" w:rsidRDefault="00514968" w:rsidP="00D468E9">
      <w:pPr>
        <w:ind w:firstLine="708"/>
        <w:jc w:val="both"/>
        <w:rPr>
          <w:lang w:val="de-DE"/>
        </w:rPr>
      </w:pPr>
      <w:r w:rsidRPr="00514968">
        <w:rPr>
          <w:b/>
          <w:bCs/>
          <w:lang w:val="de-DE"/>
        </w:rPr>
        <w:t>Art. 6 ­</w:t>
      </w:r>
      <w:r w:rsidRPr="00514968">
        <w:rPr>
          <w:lang w:val="de-DE"/>
        </w:rPr>
        <w:t xml:space="preserve"> Vorliegendes Gesetz tritt am Tag seiner Veröffentlichung im </w:t>
      </w:r>
      <w:r w:rsidRPr="00514968">
        <w:rPr>
          <w:i/>
          <w:iCs/>
          <w:lang w:val="de-DE"/>
        </w:rPr>
        <w:t>Belgischen Staatsblatt</w:t>
      </w:r>
      <w:r w:rsidRPr="00514968">
        <w:rPr>
          <w:lang w:val="de-DE"/>
        </w:rPr>
        <w:t xml:space="preserve"> in Kraft.</w:t>
      </w:r>
    </w:p>
    <w:p w14:paraId="3D64CA87" w14:textId="77777777" w:rsidR="00514968" w:rsidRPr="00514968" w:rsidRDefault="00514968" w:rsidP="00F67F0D">
      <w:pPr>
        <w:jc w:val="both"/>
        <w:rPr>
          <w:lang w:val="de-DE"/>
        </w:rPr>
      </w:pPr>
    </w:p>
    <w:p w14:paraId="5EBA7947" w14:textId="77777777" w:rsidR="00514968" w:rsidRPr="00514968" w:rsidRDefault="00514968" w:rsidP="00F67F0D">
      <w:pPr>
        <w:jc w:val="both"/>
        <w:rPr>
          <w:lang w:val="de-DE"/>
        </w:rPr>
      </w:pPr>
    </w:p>
    <w:p w14:paraId="32CB89A3" w14:textId="77777777" w:rsidR="00514968" w:rsidRPr="00514968" w:rsidRDefault="00514968" w:rsidP="00FF74A7">
      <w:pPr>
        <w:ind w:firstLine="708"/>
        <w:jc w:val="both"/>
        <w:rPr>
          <w:lang w:val="de-DE"/>
        </w:rPr>
      </w:pPr>
      <w:r w:rsidRPr="00514968">
        <w:rPr>
          <w:lang w:val="de-DE"/>
        </w:rPr>
        <w:t xml:space="preserve">Wir fertigen das vorliegende Gesetz aus und ordnen an, dass es mit dem Staatssiegel versehen und durch das </w:t>
      </w:r>
      <w:r w:rsidRPr="00514968">
        <w:rPr>
          <w:i/>
          <w:iCs/>
          <w:lang w:val="de-DE"/>
        </w:rPr>
        <w:t>Belgische Staatsblatt</w:t>
      </w:r>
      <w:r w:rsidRPr="00514968">
        <w:rPr>
          <w:lang w:val="de-DE"/>
        </w:rPr>
        <w:t xml:space="preserve"> veröffentlicht wird.</w:t>
      </w:r>
    </w:p>
    <w:p w14:paraId="456BFAD2" w14:textId="77777777" w:rsidR="00514968" w:rsidRPr="00514968" w:rsidRDefault="00514968" w:rsidP="00F67F0D">
      <w:pPr>
        <w:jc w:val="both"/>
        <w:rPr>
          <w:lang w:val="de-DE"/>
        </w:rPr>
      </w:pPr>
    </w:p>
    <w:p w14:paraId="5A822480" w14:textId="77777777" w:rsidR="00514968" w:rsidRPr="00514968" w:rsidRDefault="00514968" w:rsidP="00F67F0D">
      <w:pPr>
        <w:jc w:val="both"/>
        <w:rPr>
          <w:lang w:val="de-DE"/>
        </w:rPr>
      </w:pPr>
    </w:p>
    <w:p w14:paraId="4DBF3703" w14:textId="77777777" w:rsidR="00514968" w:rsidRPr="00514968" w:rsidRDefault="00514968" w:rsidP="00D468E9">
      <w:pPr>
        <w:ind w:firstLine="708"/>
        <w:jc w:val="both"/>
        <w:rPr>
          <w:lang w:val="de-DE"/>
        </w:rPr>
      </w:pPr>
      <w:r w:rsidRPr="00514968">
        <w:rPr>
          <w:lang w:val="de-DE"/>
        </w:rPr>
        <w:t>Gegeben zu Brüssel, den 8. Februar 2023</w:t>
      </w:r>
    </w:p>
    <w:p w14:paraId="3BAE593D" w14:textId="77777777" w:rsidR="00514968" w:rsidRPr="00514968" w:rsidRDefault="00514968" w:rsidP="00F67F0D">
      <w:pPr>
        <w:jc w:val="both"/>
        <w:rPr>
          <w:lang w:val="de-DE"/>
        </w:rPr>
      </w:pPr>
    </w:p>
    <w:p w14:paraId="2AA24943" w14:textId="77777777" w:rsidR="00514968" w:rsidRPr="00514968" w:rsidRDefault="00514968" w:rsidP="00F67F0D">
      <w:pPr>
        <w:jc w:val="both"/>
        <w:rPr>
          <w:lang w:val="de-DE"/>
        </w:rPr>
      </w:pPr>
    </w:p>
    <w:p w14:paraId="2EE1497C" w14:textId="77777777" w:rsidR="00514968" w:rsidRPr="00514968" w:rsidRDefault="00514968" w:rsidP="00D468E9">
      <w:pPr>
        <w:jc w:val="center"/>
        <w:rPr>
          <w:lang w:val="de-DE"/>
        </w:rPr>
      </w:pPr>
      <w:r w:rsidRPr="00514968">
        <w:rPr>
          <w:lang w:val="de-DE"/>
        </w:rPr>
        <w:t>PHILIPPE</w:t>
      </w:r>
    </w:p>
    <w:p w14:paraId="13CCF217" w14:textId="77777777" w:rsidR="00514968" w:rsidRPr="00514968" w:rsidRDefault="00514968" w:rsidP="00D468E9">
      <w:pPr>
        <w:jc w:val="center"/>
        <w:rPr>
          <w:lang w:val="de-DE"/>
        </w:rPr>
      </w:pPr>
    </w:p>
    <w:p w14:paraId="3870203E" w14:textId="77777777" w:rsidR="00514968" w:rsidRPr="00514968" w:rsidRDefault="00514968" w:rsidP="00D468E9">
      <w:pPr>
        <w:jc w:val="center"/>
        <w:rPr>
          <w:lang w:val="de-DE"/>
        </w:rPr>
      </w:pPr>
      <w:r w:rsidRPr="00514968">
        <w:rPr>
          <w:lang w:val="de-DE"/>
        </w:rPr>
        <w:t>Von Königs wegen:</w:t>
      </w:r>
    </w:p>
    <w:p w14:paraId="4091B3BB" w14:textId="77777777" w:rsidR="00514968" w:rsidRPr="00514968" w:rsidRDefault="00514968" w:rsidP="00D468E9">
      <w:pPr>
        <w:jc w:val="center"/>
        <w:rPr>
          <w:lang w:val="de-DE"/>
        </w:rPr>
      </w:pPr>
    </w:p>
    <w:p w14:paraId="30A8D22B" w14:textId="77777777" w:rsidR="00514968" w:rsidRPr="00514968" w:rsidRDefault="00514968" w:rsidP="00D468E9">
      <w:pPr>
        <w:jc w:val="center"/>
        <w:rPr>
          <w:lang w:val="de-DE"/>
        </w:rPr>
      </w:pPr>
      <w:r w:rsidRPr="00514968">
        <w:rPr>
          <w:lang w:val="de-DE"/>
        </w:rPr>
        <w:t>Der Minister der Finanzen</w:t>
      </w:r>
    </w:p>
    <w:p w14:paraId="57938F2A" w14:textId="77777777" w:rsidR="00514968" w:rsidRPr="00514968" w:rsidRDefault="00514968" w:rsidP="00D468E9">
      <w:pPr>
        <w:jc w:val="center"/>
        <w:rPr>
          <w:lang w:val="de-DE"/>
        </w:rPr>
      </w:pPr>
      <w:r w:rsidRPr="00514968">
        <w:rPr>
          <w:lang w:val="de-DE"/>
        </w:rPr>
        <w:t>V. VAN PETEGHEM</w:t>
      </w:r>
    </w:p>
    <w:p w14:paraId="52E82C67" w14:textId="77777777" w:rsidR="00514968" w:rsidRPr="00514968" w:rsidRDefault="00514968" w:rsidP="00D468E9">
      <w:pPr>
        <w:jc w:val="center"/>
        <w:rPr>
          <w:lang w:val="de-DE"/>
        </w:rPr>
      </w:pPr>
    </w:p>
    <w:p w14:paraId="2FFC45B5" w14:textId="77777777" w:rsidR="00514968" w:rsidRPr="00514968" w:rsidRDefault="00514968" w:rsidP="00D468E9">
      <w:pPr>
        <w:jc w:val="center"/>
        <w:rPr>
          <w:lang w:val="de-DE"/>
        </w:rPr>
      </w:pPr>
      <w:r w:rsidRPr="00514968">
        <w:rPr>
          <w:lang w:val="de-DE"/>
        </w:rPr>
        <w:t>Mit dem Staatssiegel versehen:</w:t>
      </w:r>
    </w:p>
    <w:p w14:paraId="7C0B05DE" w14:textId="77777777" w:rsidR="00514968" w:rsidRPr="00514968" w:rsidRDefault="00514968" w:rsidP="00D468E9">
      <w:pPr>
        <w:jc w:val="center"/>
        <w:rPr>
          <w:lang w:val="de-DE"/>
        </w:rPr>
      </w:pPr>
    </w:p>
    <w:p w14:paraId="4DED230A" w14:textId="77777777" w:rsidR="00514968" w:rsidRPr="00514968" w:rsidRDefault="00514968" w:rsidP="00D468E9">
      <w:pPr>
        <w:jc w:val="center"/>
        <w:rPr>
          <w:lang w:val="de-DE"/>
        </w:rPr>
      </w:pPr>
      <w:r w:rsidRPr="00514968">
        <w:rPr>
          <w:lang w:val="de-DE"/>
        </w:rPr>
        <w:t>Der Minister der Justiz</w:t>
      </w:r>
    </w:p>
    <w:p w14:paraId="340F80EA" w14:textId="3B32C6B3" w:rsidR="00233F36" w:rsidRPr="00C80000" w:rsidRDefault="00514968" w:rsidP="00C54ACF">
      <w:pPr>
        <w:jc w:val="center"/>
        <w:rPr>
          <w:lang w:val="de-DE"/>
        </w:rPr>
      </w:pPr>
      <w:r w:rsidRPr="00514968">
        <w:rPr>
          <w:lang w:val="de-DE"/>
        </w:rPr>
        <w:t>V. VAN QUICKENBORNE</w:t>
      </w:r>
    </w:p>
    <w:sectPr w:rsidR="00233F36" w:rsidRPr="00C80000" w:rsidSect="0051496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1534074295">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725C6"/>
    <w:rsid w:val="00385261"/>
    <w:rsid w:val="004F0197"/>
    <w:rsid w:val="0051470C"/>
    <w:rsid w:val="00514968"/>
    <w:rsid w:val="005D55BA"/>
    <w:rsid w:val="00632480"/>
    <w:rsid w:val="006F4381"/>
    <w:rsid w:val="00786C4F"/>
    <w:rsid w:val="007A515C"/>
    <w:rsid w:val="007D5F55"/>
    <w:rsid w:val="00800E1A"/>
    <w:rsid w:val="008C2124"/>
    <w:rsid w:val="00AA413E"/>
    <w:rsid w:val="00AB18C3"/>
    <w:rsid w:val="00B27BE9"/>
    <w:rsid w:val="00B56114"/>
    <w:rsid w:val="00C43D43"/>
    <w:rsid w:val="00C54ACF"/>
    <w:rsid w:val="00C80000"/>
    <w:rsid w:val="00CA081B"/>
    <w:rsid w:val="00DC56FB"/>
    <w:rsid w:val="00DD5F2F"/>
    <w:rsid w:val="00DD7277"/>
    <w:rsid w:val="00E1687C"/>
    <w:rsid w:val="00F2168C"/>
    <w:rsid w:val="00F24CD9"/>
    <w:rsid w:val="00F41731"/>
    <w:rsid w:val="00F80FD4"/>
    <w:rsid w:val="00F9693B"/>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EFE041"/>
  <w15:docId w15:val="{329E68CA-26D7-4D31-83C7-039B35D79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1235</Words>
  <Characters>7560</Characters>
  <Application>Microsoft Office Word</Application>
  <DocSecurity>0</DocSecurity>
  <Lines>63</Lines>
  <Paragraphs>17</Paragraphs>
  <ScaleCrop>false</ScaleCrop>
  <Company/>
  <LinksUpToDate>false</LinksUpToDate>
  <CharactersWithSpaces>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4</cp:revision>
  <dcterms:created xsi:type="dcterms:W3CDTF">2026-01-07T09:54:00Z</dcterms:created>
  <dcterms:modified xsi:type="dcterms:W3CDTF">2026-01-07T10:09:00Z</dcterms:modified>
</cp:coreProperties>
</file>