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41EFF" w14:textId="77777777" w:rsidR="00DB2A36" w:rsidRPr="00E57FCA" w:rsidRDefault="00DB2A36" w:rsidP="00DB2A36">
      <w:pPr>
        <w:spacing w:after="0" w:line="240" w:lineRule="auto"/>
        <w:jc w:val="center"/>
        <w:rPr>
          <w:rFonts w:ascii="Times New Roman" w:hAnsi="Times New Roman" w:cs="Times New Roman"/>
          <w:b/>
          <w:bCs/>
          <w:sz w:val="24"/>
          <w:szCs w:val="24"/>
        </w:rPr>
      </w:pPr>
      <w:r>
        <w:rPr>
          <w:rFonts w:ascii="Times New Roman" w:hAnsi="Times New Roman"/>
          <w:b/>
          <w:sz w:val="24"/>
        </w:rPr>
        <w:t>5. APRIL 2011 - Königlicher Erlass zur Festlegung der Anforderungen an Holzpellets für nichtindustrielle Heizgeräte</w:t>
      </w:r>
    </w:p>
    <w:p w14:paraId="5D2EA4E3" w14:textId="77777777" w:rsidR="00DB2A36" w:rsidRPr="00DB2A36" w:rsidRDefault="00DB2A36" w:rsidP="00DB2A36">
      <w:pPr>
        <w:spacing w:after="0" w:line="240" w:lineRule="auto"/>
        <w:jc w:val="both"/>
        <w:rPr>
          <w:rFonts w:ascii="Times New Roman" w:hAnsi="Times New Roman" w:cs="Times New Roman"/>
          <w:sz w:val="24"/>
          <w:szCs w:val="24"/>
        </w:rPr>
      </w:pPr>
    </w:p>
    <w:p w14:paraId="61787F0A" w14:textId="77777777" w:rsidR="00DB2A36" w:rsidRPr="00DB2A36" w:rsidRDefault="00DB2A36" w:rsidP="00DB2A36">
      <w:pPr>
        <w:spacing w:after="0" w:line="240" w:lineRule="auto"/>
        <w:rPr>
          <w:rFonts w:ascii="Times New Roman" w:hAnsi="Times New Roman" w:cs="Times New Roman"/>
          <w:sz w:val="24"/>
          <w:szCs w:val="24"/>
        </w:rPr>
      </w:pPr>
    </w:p>
    <w:p w14:paraId="66AE9605" w14:textId="62450DB7" w:rsidR="00DB2A36" w:rsidRPr="00DB2A36" w:rsidRDefault="00DB2A36" w:rsidP="00DB2A36">
      <w:pPr>
        <w:spacing w:after="0" w:line="240" w:lineRule="auto"/>
        <w:jc w:val="center"/>
        <w:rPr>
          <w:rFonts w:ascii="Times New Roman" w:hAnsi="Times New Roman" w:cs="Times New Roman"/>
          <w:i/>
          <w:sz w:val="24"/>
          <w:szCs w:val="24"/>
        </w:rPr>
      </w:pPr>
      <w:r w:rsidRPr="00DB2A36">
        <w:rPr>
          <w:rFonts w:ascii="Times New Roman" w:hAnsi="Times New Roman" w:cs="Times New Roman"/>
          <w:sz w:val="24"/>
          <w:szCs w:val="24"/>
        </w:rPr>
        <w:t>(</w:t>
      </w:r>
      <w:r w:rsidRPr="00DB2A36">
        <w:rPr>
          <w:rFonts w:ascii="Times New Roman" w:hAnsi="Times New Roman" w:cs="Times New Roman"/>
          <w:i/>
          <w:sz w:val="24"/>
          <w:szCs w:val="24"/>
        </w:rPr>
        <w:t xml:space="preserve">Belgisches Staatsblatt </w:t>
      </w:r>
      <w:r w:rsidRPr="00DB2A36">
        <w:rPr>
          <w:rFonts w:ascii="Times New Roman" w:hAnsi="Times New Roman" w:cs="Times New Roman"/>
          <w:sz w:val="24"/>
          <w:szCs w:val="24"/>
        </w:rPr>
        <w:t xml:space="preserve">vom </w:t>
      </w:r>
      <w:r>
        <w:rPr>
          <w:rFonts w:ascii="Times New Roman" w:hAnsi="Times New Roman" w:cs="Times New Roman"/>
          <w:sz w:val="24"/>
          <w:szCs w:val="24"/>
        </w:rPr>
        <w:t>31. Mai 2024</w:t>
      </w:r>
      <w:r w:rsidRPr="00DB2A36">
        <w:rPr>
          <w:rFonts w:ascii="Times New Roman" w:hAnsi="Times New Roman" w:cs="Times New Roman"/>
          <w:sz w:val="24"/>
          <w:szCs w:val="24"/>
        </w:rPr>
        <w:t>)</w:t>
      </w:r>
    </w:p>
    <w:p w14:paraId="52BE3387" w14:textId="77777777" w:rsidR="00DB2A36" w:rsidRPr="00DB2A36" w:rsidRDefault="00DB2A36" w:rsidP="00DB2A36">
      <w:pPr>
        <w:spacing w:after="0" w:line="240" w:lineRule="auto"/>
        <w:jc w:val="center"/>
        <w:rPr>
          <w:rFonts w:ascii="Times New Roman" w:hAnsi="Times New Roman" w:cs="Times New Roman"/>
          <w:sz w:val="24"/>
          <w:szCs w:val="24"/>
        </w:rPr>
      </w:pPr>
    </w:p>
    <w:p w14:paraId="65CBA998" w14:textId="77777777" w:rsidR="00DB2A36" w:rsidRPr="00DB2A36" w:rsidRDefault="00DB2A36" w:rsidP="00DB2A36">
      <w:pPr>
        <w:spacing w:after="0" w:line="240" w:lineRule="auto"/>
        <w:jc w:val="center"/>
        <w:rPr>
          <w:rFonts w:ascii="Times New Roman" w:hAnsi="Times New Roman" w:cs="Times New Roman"/>
          <w:sz w:val="24"/>
          <w:szCs w:val="24"/>
        </w:rPr>
      </w:pPr>
    </w:p>
    <w:p w14:paraId="5136071B" w14:textId="77777777" w:rsidR="00DB2A36" w:rsidRPr="00DB2A36" w:rsidRDefault="00DB2A36" w:rsidP="00DB2A36">
      <w:pPr>
        <w:spacing w:after="0" w:line="240" w:lineRule="auto"/>
        <w:jc w:val="both"/>
        <w:rPr>
          <w:rFonts w:ascii="Times New Roman" w:hAnsi="Times New Roman" w:cs="Times New Roman"/>
          <w:sz w:val="24"/>
          <w:szCs w:val="24"/>
        </w:rPr>
      </w:pPr>
      <w:r w:rsidRPr="00DB2A36">
        <w:rPr>
          <w:rFonts w:ascii="Times New Roman" w:hAnsi="Times New Roman" w:cs="Times New Roman"/>
          <w:sz w:val="24"/>
          <w:szCs w:val="24"/>
        </w:rPr>
        <w:t>Diese deutsche Übersetzung ist von der Zentralen Dienststelle für Deutsche Übersetzungen in Malmedy erstellt worden.</w:t>
      </w:r>
    </w:p>
    <w:p w14:paraId="20BB7D50" w14:textId="77777777" w:rsidR="00DB2A36" w:rsidRDefault="00DB2A36" w:rsidP="00CA081B">
      <w:pPr>
        <w:jc w:val="both"/>
      </w:pPr>
    </w:p>
    <w:p w14:paraId="53C32C1F" w14:textId="77777777" w:rsidR="00DB2A36" w:rsidRPr="00C80000" w:rsidRDefault="00DB2A36" w:rsidP="00CA081B">
      <w:pPr>
        <w:jc w:val="both"/>
      </w:pPr>
    </w:p>
    <w:p w14:paraId="018074BC" w14:textId="77777777" w:rsidR="00DB2A36" w:rsidRDefault="00DB2A36" w:rsidP="006F4381">
      <w:pPr>
        <w:jc w:val="both"/>
        <w:sectPr w:rsidR="00DB2A36" w:rsidSect="00DB2A36">
          <w:pgSz w:w="11906" w:h="16838"/>
          <w:pgMar w:top="1418" w:right="1418" w:bottom="1418" w:left="1418" w:header="709" w:footer="709" w:gutter="0"/>
          <w:cols w:space="708"/>
          <w:vAlign w:val="center"/>
          <w:docGrid w:linePitch="360"/>
        </w:sectPr>
      </w:pPr>
    </w:p>
    <w:p w14:paraId="72220460" w14:textId="77777777" w:rsidR="00E57FCA" w:rsidRPr="00E57FCA" w:rsidRDefault="00E57FCA" w:rsidP="00E57FCA">
      <w:pPr>
        <w:spacing w:after="0" w:line="240" w:lineRule="auto"/>
        <w:jc w:val="center"/>
        <w:rPr>
          <w:rFonts w:ascii="Times New Roman" w:hAnsi="Times New Roman" w:cs="Times New Roman"/>
          <w:b/>
          <w:bCs/>
          <w:sz w:val="24"/>
          <w:szCs w:val="24"/>
        </w:rPr>
      </w:pPr>
      <w:r>
        <w:rPr>
          <w:rFonts w:ascii="Times New Roman" w:hAnsi="Times New Roman"/>
          <w:b/>
          <w:sz w:val="24"/>
        </w:rPr>
        <w:lastRenderedPageBreak/>
        <w:t>FÖDERALER ÖFFENTLICHER DIENST VOLKSGESUNDHEIT, SICHERHEIT DER NAHRUNGSMITTELKETTE UND UMWELT</w:t>
      </w:r>
    </w:p>
    <w:p w14:paraId="3880C17B" w14:textId="77777777" w:rsidR="00E57FCA" w:rsidRPr="00E57FCA" w:rsidRDefault="00E57FCA" w:rsidP="00E57FCA">
      <w:pPr>
        <w:spacing w:after="0" w:line="240" w:lineRule="auto"/>
        <w:jc w:val="center"/>
        <w:rPr>
          <w:rFonts w:ascii="Times New Roman" w:hAnsi="Times New Roman" w:cs="Times New Roman"/>
          <w:b/>
          <w:bCs/>
          <w:sz w:val="24"/>
          <w:szCs w:val="24"/>
        </w:rPr>
      </w:pPr>
    </w:p>
    <w:p w14:paraId="0B9F927D" w14:textId="77777777" w:rsidR="00E57FCA" w:rsidRPr="00E57FCA" w:rsidRDefault="00E57FCA" w:rsidP="00E57FCA">
      <w:pPr>
        <w:spacing w:after="0" w:line="240" w:lineRule="auto"/>
        <w:jc w:val="center"/>
        <w:rPr>
          <w:rFonts w:ascii="Times New Roman" w:hAnsi="Times New Roman" w:cs="Times New Roman"/>
          <w:b/>
          <w:bCs/>
          <w:sz w:val="24"/>
          <w:szCs w:val="24"/>
        </w:rPr>
      </w:pPr>
    </w:p>
    <w:p w14:paraId="0DE7F495" w14:textId="7F57533C" w:rsidR="00E57FCA" w:rsidRPr="00E57FCA" w:rsidRDefault="00E57FCA" w:rsidP="00E57FCA">
      <w:pPr>
        <w:spacing w:after="0" w:line="240" w:lineRule="auto"/>
        <w:jc w:val="center"/>
        <w:rPr>
          <w:rFonts w:ascii="Times New Roman" w:hAnsi="Times New Roman" w:cs="Times New Roman"/>
          <w:b/>
          <w:bCs/>
          <w:sz w:val="24"/>
          <w:szCs w:val="24"/>
        </w:rPr>
      </w:pPr>
      <w:r>
        <w:rPr>
          <w:rFonts w:ascii="Times New Roman" w:hAnsi="Times New Roman"/>
          <w:b/>
          <w:sz w:val="24"/>
        </w:rPr>
        <w:t>5. APRIL 2011 - Königlicher Erlass zur Festlegung der Anforderungen an Holzpellets für nichtindustrielle Heizgeräte</w:t>
      </w:r>
    </w:p>
    <w:p w14:paraId="169EB2A7" w14:textId="77777777" w:rsidR="00E57FCA" w:rsidRDefault="00E57FCA" w:rsidP="00E57FCA">
      <w:pPr>
        <w:spacing w:after="0" w:line="240" w:lineRule="auto"/>
        <w:jc w:val="both"/>
        <w:rPr>
          <w:rFonts w:ascii="Times New Roman" w:hAnsi="Times New Roman" w:cs="Times New Roman"/>
          <w:sz w:val="24"/>
          <w:szCs w:val="24"/>
        </w:rPr>
      </w:pPr>
    </w:p>
    <w:p w14:paraId="4CB84BF6" w14:textId="77777777" w:rsidR="00E57FCA" w:rsidRDefault="00E57FCA" w:rsidP="00E57FCA">
      <w:pPr>
        <w:spacing w:after="0" w:line="240" w:lineRule="auto"/>
        <w:jc w:val="both"/>
        <w:rPr>
          <w:rFonts w:ascii="Times New Roman" w:hAnsi="Times New Roman" w:cs="Times New Roman"/>
          <w:sz w:val="24"/>
          <w:szCs w:val="24"/>
        </w:rPr>
      </w:pPr>
    </w:p>
    <w:p w14:paraId="5B4D86D3" w14:textId="3BE5DE62"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sz w:val="24"/>
        </w:rPr>
        <w:tab/>
      </w:r>
      <w:r>
        <w:rPr>
          <w:rFonts w:ascii="Times New Roman" w:hAnsi="Times New Roman"/>
          <w:sz w:val="24"/>
        </w:rPr>
        <w:tab/>
        <w:t>ALBERT II., König der Belgier,</w:t>
      </w:r>
    </w:p>
    <w:p w14:paraId="66A856E9" w14:textId="77777777" w:rsidR="00E57FCA" w:rsidRDefault="00E57FCA" w:rsidP="00E57FCA">
      <w:pPr>
        <w:spacing w:after="0" w:line="240" w:lineRule="auto"/>
        <w:jc w:val="both"/>
        <w:rPr>
          <w:rFonts w:ascii="Times New Roman" w:hAnsi="Times New Roman" w:cs="Times New Roman"/>
          <w:sz w:val="24"/>
          <w:szCs w:val="24"/>
        </w:rPr>
      </w:pPr>
    </w:p>
    <w:p w14:paraId="483A39E6" w14:textId="3AA157BE"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sz w:val="24"/>
        </w:rPr>
        <w:tab/>
        <w:t>Allen Gegenwärtigen und Zukünftigen, Unser Gruß!</w:t>
      </w:r>
    </w:p>
    <w:p w14:paraId="0B96B1D0" w14:textId="77777777" w:rsidR="00E57FCA" w:rsidRDefault="00E57FCA" w:rsidP="00E57FCA">
      <w:pPr>
        <w:spacing w:after="0" w:line="240" w:lineRule="auto"/>
        <w:jc w:val="both"/>
        <w:rPr>
          <w:rFonts w:ascii="Times New Roman" w:hAnsi="Times New Roman" w:cs="Times New Roman"/>
          <w:sz w:val="24"/>
          <w:szCs w:val="24"/>
        </w:rPr>
      </w:pPr>
    </w:p>
    <w:p w14:paraId="2592EA49" w14:textId="77777777" w:rsidR="00E57FCA" w:rsidRDefault="00E57FCA" w:rsidP="00E57FCA">
      <w:pPr>
        <w:spacing w:after="0" w:line="240" w:lineRule="auto"/>
        <w:jc w:val="both"/>
        <w:rPr>
          <w:rFonts w:ascii="Times New Roman" w:hAnsi="Times New Roman" w:cs="Times New Roman"/>
          <w:sz w:val="24"/>
          <w:szCs w:val="24"/>
        </w:rPr>
      </w:pPr>
    </w:p>
    <w:p w14:paraId="7CCBFFF2" w14:textId="541EE2AC"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Aufgrund der Verfassung, der Artikel 37 und 108;</w:t>
      </w:r>
    </w:p>
    <w:p w14:paraId="0D3459CF" w14:textId="77777777" w:rsidR="00E57FCA" w:rsidRDefault="00E57FCA" w:rsidP="00E57FCA">
      <w:pPr>
        <w:spacing w:after="0" w:line="240" w:lineRule="auto"/>
        <w:jc w:val="both"/>
        <w:rPr>
          <w:rFonts w:ascii="Times New Roman" w:hAnsi="Times New Roman" w:cs="Times New Roman"/>
          <w:sz w:val="24"/>
          <w:szCs w:val="24"/>
        </w:rPr>
      </w:pPr>
    </w:p>
    <w:p w14:paraId="3926ED7C" w14:textId="3FEAD35A"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Aufgrund des Gesetzes vom 21. Dezember 1998 über Produktnormen zur Förderung umweltverträglicher Produktions- und Konsummuster und zum Schutz der Umwelt und der Gesundheit, des Artikels 5 § 1 Nr. 1, 3, 5, 6, 10 und 11;</w:t>
      </w:r>
    </w:p>
    <w:p w14:paraId="2675309A" w14:textId="77777777" w:rsidR="00E57FCA" w:rsidRDefault="00E57FCA" w:rsidP="00E57FCA">
      <w:pPr>
        <w:spacing w:after="0" w:line="240" w:lineRule="auto"/>
        <w:jc w:val="both"/>
        <w:rPr>
          <w:rFonts w:ascii="Times New Roman" w:hAnsi="Times New Roman" w:cs="Times New Roman"/>
          <w:sz w:val="24"/>
          <w:szCs w:val="24"/>
        </w:rPr>
      </w:pPr>
    </w:p>
    <w:p w14:paraId="25719094" w14:textId="2EBAE8A1"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Aufgrund der Beteiligung der Regionalregierungen an der Ausarbeitung des vorliegenden Erlasses im Rahmen der Interministeriellen Konferenz "Umwelt" am 16. Februar 2009;</w:t>
      </w:r>
    </w:p>
    <w:p w14:paraId="179BDEAA" w14:textId="77777777" w:rsidR="00E57FCA" w:rsidRDefault="00E57FCA" w:rsidP="00E57FCA">
      <w:pPr>
        <w:spacing w:after="0" w:line="240" w:lineRule="auto"/>
        <w:jc w:val="both"/>
        <w:rPr>
          <w:rFonts w:ascii="Times New Roman" w:hAnsi="Times New Roman" w:cs="Times New Roman"/>
          <w:sz w:val="24"/>
          <w:szCs w:val="24"/>
        </w:rPr>
      </w:pPr>
    </w:p>
    <w:p w14:paraId="10C45223" w14:textId="537B4686"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Aufgrund der Stellungnahme des Hohen Gesundheitsrates vom 12. Mai 2009;</w:t>
      </w:r>
    </w:p>
    <w:p w14:paraId="635E4525" w14:textId="77777777" w:rsidR="00E57FCA" w:rsidRDefault="00E57FCA" w:rsidP="00E57FCA">
      <w:pPr>
        <w:spacing w:after="0" w:line="240" w:lineRule="auto"/>
        <w:jc w:val="both"/>
        <w:rPr>
          <w:rFonts w:ascii="Times New Roman" w:hAnsi="Times New Roman" w:cs="Times New Roman"/>
          <w:sz w:val="24"/>
          <w:szCs w:val="24"/>
        </w:rPr>
      </w:pPr>
    </w:p>
    <w:p w14:paraId="568FD06C" w14:textId="3B4D5AF2"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Aufgrund der Stellungnahme des Verbraucherrates vom 14. Mai 2009;</w:t>
      </w:r>
    </w:p>
    <w:p w14:paraId="23A692AE" w14:textId="77777777" w:rsidR="00E57FCA" w:rsidRDefault="00E57FCA" w:rsidP="00E57FCA">
      <w:pPr>
        <w:spacing w:after="0" w:line="240" w:lineRule="auto"/>
        <w:jc w:val="both"/>
        <w:rPr>
          <w:rFonts w:ascii="Times New Roman" w:hAnsi="Times New Roman" w:cs="Times New Roman"/>
          <w:sz w:val="24"/>
          <w:szCs w:val="24"/>
        </w:rPr>
      </w:pPr>
    </w:p>
    <w:p w14:paraId="663B928D" w14:textId="21A6CEB5"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Aufgrund der Stellungnahme des Föderalen Rates für Nachhaltige Entwicklung vom 27. Mai 2009;</w:t>
      </w:r>
    </w:p>
    <w:p w14:paraId="51738B96" w14:textId="77777777" w:rsidR="00E57FCA" w:rsidRDefault="00E57FCA" w:rsidP="00E57FCA">
      <w:pPr>
        <w:spacing w:after="0" w:line="240" w:lineRule="auto"/>
        <w:jc w:val="both"/>
        <w:rPr>
          <w:rFonts w:ascii="Times New Roman" w:hAnsi="Times New Roman" w:cs="Times New Roman"/>
          <w:sz w:val="24"/>
          <w:szCs w:val="24"/>
        </w:rPr>
      </w:pPr>
    </w:p>
    <w:p w14:paraId="16722AD4" w14:textId="1754B299"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Aufgrund der Stellungnahme des Zentralen Wirtschaftsrates vom 17. Juni 2009;</w:t>
      </w:r>
    </w:p>
    <w:p w14:paraId="4301CD58" w14:textId="77777777" w:rsidR="00E57FCA" w:rsidRDefault="00E57FCA" w:rsidP="00E57FCA">
      <w:pPr>
        <w:spacing w:after="0" w:line="240" w:lineRule="auto"/>
        <w:jc w:val="both"/>
        <w:rPr>
          <w:rFonts w:ascii="Times New Roman" w:hAnsi="Times New Roman" w:cs="Times New Roman"/>
          <w:sz w:val="24"/>
          <w:szCs w:val="24"/>
        </w:rPr>
      </w:pPr>
    </w:p>
    <w:p w14:paraId="34E1C74E" w14:textId="27545DF1"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Aufgrund der Notifizierung an die Europäische Kommission vom 6. Juli 2009;</w:t>
      </w:r>
    </w:p>
    <w:p w14:paraId="39E89BDA" w14:textId="77777777" w:rsidR="00E57FCA" w:rsidRDefault="00E57FCA" w:rsidP="00E57FCA">
      <w:pPr>
        <w:spacing w:after="0" w:line="240" w:lineRule="auto"/>
        <w:jc w:val="both"/>
        <w:rPr>
          <w:rFonts w:ascii="Times New Roman" w:hAnsi="Times New Roman" w:cs="Times New Roman"/>
          <w:sz w:val="24"/>
          <w:szCs w:val="24"/>
        </w:rPr>
      </w:pPr>
    </w:p>
    <w:p w14:paraId="54A7CF54" w14:textId="6AA4AF87"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Aufgrund der Stellungnahme des Finanzinspektors vom 20. Mai 2010;</w:t>
      </w:r>
    </w:p>
    <w:p w14:paraId="4C998207" w14:textId="77777777" w:rsidR="00E57FCA" w:rsidRDefault="00E57FCA" w:rsidP="00E57FCA">
      <w:pPr>
        <w:spacing w:after="0" w:line="240" w:lineRule="auto"/>
        <w:jc w:val="both"/>
        <w:rPr>
          <w:rFonts w:ascii="Times New Roman" w:hAnsi="Times New Roman" w:cs="Times New Roman"/>
          <w:sz w:val="24"/>
          <w:szCs w:val="24"/>
        </w:rPr>
      </w:pPr>
    </w:p>
    <w:p w14:paraId="44C9BB1B" w14:textId="4AEECB19"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Aufgrund des Gutachtens Nr. 48.459/3 des Staatsrates vom 12. Juli 2010, abgegeben in Anwendung von Artikel 84 § 1 Absatz 1 Nr. 1 der am 12. Januar 1973 koordinierten Gesetze über den Staatsrat;</w:t>
      </w:r>
    </w:p>
    <w:p w14:paraId="241A81FD" w14:textId="77777777" w:rsidR="00E57FCA" w:rsidRDefault="00E57FCA" w:rsidP="00E57FCA">
      <w:pPr>
        <w:spacing w:after="0" w:line="240" w:lineRule="auto"/>
        <w:jc w:val="both"/>
        <w:rPr>
          <w:rFonts w:ascii="Times New Roman" w:hAnsi="Times New Roman" w:cs="Times New Roman"/>
          <w:sz w:val="24"/>
          <w:szCs w:val="24"/>
        </w:rPr>
      </w:pPr>
    </w:p>
    <w:p w14:paraId="0A1BE2BD" w14:textId="5BAB4264"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Auf Vorschlag des Ministers des Klimas und der Energie</w:t>
      </w:r>
    </w:p>
    <w:p w14:paraId="0A673864" w14:textId="77777777" w:rsidR="00E57FCA" w:rsidRDefault="00E57FCA" w:rsidP="00E57FCA">
      <w:pPr>
        <w:spacing w:after="0" w:line="240" w:lineRule="auto"/>
        <w:jc w:val="both"/>
        <w:rPr>
          <w:rFonts w:ascii="Times New Roman" w:hAnsi="Times New Roman" w:cs="Times New Roman"/>
          <w:sz w:val="24"/>
          <w:szCs w:val="24"/>
        </w:rPr>
      </w:pPr>
    </w:p>
    <w:p w14:paraId="25C92A79" w14:textId="77777777" w:rsidR="00E57FCA" w:rsidRDefault="00E57FCA" w:rsidP="00E57FCA">
      <w:pPr>
        <w:spacing w:after="0" w:line="240" w:lineRule="auto"/>
        <w:jc w:val="both"/>
        <w:rPr>
          <w:rFonts w:ascii="Times New Roman" w:hAnsi="Times New Roman" w:cs="Times New Roman"/>
          <w:sz w:val="24"/>
          <w:szCs w:val="24"/>
        </w:rPr>
      </w:pPr>
    </w:p>
    <w:p w14:paraId="6AD61DA9" w14:textId="0F0521F0"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sz w:val="24"/>
        </w:rPr>
        <w:tab/>
        <w:t>Haben Wir beschlossen und erlassen Wir:</w:t>
      </w:r>
    </w:p>
    <w:p w14:paraId="1D0170B5" w14:textId="77777777" w:rsidR="00E57FCA" w:rsidRPr="00E57FCA" w:rsidRDefault="00E57FCA" w:rsidP="00E57FCA">
      <w:pPr>
        <w:spacing w:after="0" w:line="240" w:lineRule="auto"/>
        <w:jc w:val="both"/>
        <w:rPr>
          <w:rFonts w:ascii="Times New Roman" w:hAnsi="Times New Roman" w:cs="Times New Roman"/>
          <w:sz w:val="24"/>
          <w:szCs w:val="24"/>
        </w:rPr>
      </w:pPr>
    </w:p>
    <w:p w14:paraId="148A1A49" w14:textId="77777777" w:rsidR="00E57FCA" w:rsidRDefault="00E57FCA" w:rsidP="00E57FCA">
      <w:pPr>
        <w:spacing w:after="0" w:line="240" w:lineRule="auto"/>
        <w:jc w:val="both"/>
        <w:rPr>
          <w:rFonts w:ascii="Times New Roman" w:hAnsi="Times New Roman" w:cs="Times New Roman"/>
          <w:sz w:val="24"/>
          <w:szCs w:val="24"/>
        </w:rPr>
      </w:pPr>
    </w:p>
    <w:p w14:paraId="54146E2C" w14:textId="63349051"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b/>
          <w:sz w:val="24"/>
        </w:rPr>
        <w:tab/>
        <w:t>Artikel 1 -</w:t>
      </w:r>
      <w:r>
        <w:rPr>
          <w:rFonts w:ascii="Times New Roman" w:hAnsi="Times New Roman"/>
          <w:sz w:val="24"/>
        </w:rPr>
        <w:t xml:space="preserve"> Durch vorliegenden Erlass werden die Bedingungen für das Inverkehrbringen von Holzpellets festgelegt, die als Brennstoff für Heizkessel und Öfen mit einer Nennwärmeleistung von höchstens 300 kW bestimmt sind.</w:t>
      </w:r>
    </w:p>
    <w:p w14:paraId="2387F45F" w14:textId="77777777" w:rsidR="00E57FCA" w:rsidRDefault="00E57FCA" w:rsidP="00E57FCA">
      <w:pPr>
        <w:spacing w:after="0" w:line="240" w:lineRule="auto"/>
        <w:jc w:val="both"/>
        <w:rPr>
          <w:rFonts w:ascii="Times New Roman" w:hAnsi="Times New Roman" w:cs="Times New Roman"/>
          <w:sz w:val="24"/>
          <w:szCs w:val="24"/>
        </w:rPr>
      </w:pPr>
    </w:p>
    <w:p w14:paraId="6425F0E3" w14:textId="77777777" w:rsidR="00E57FCA" w:rsidRDefault="00E57FCA" w:rsidP="00E57FCA">
      <w:pPr>
        <w:spacing w:after="0" w:line="240" w:lineRule="auto"/>
        <w:jc w:val="both"/>
        <w:rPr>
          <w:rFonts w:ascii="Times New Roman" w:hAnsi="Times New Roman" w:cs="Times New Roman"/>
          <w:sz w:val="24"/>
          <w:szCs w:val="24"/>
        </w:rPr>
      </w:pPr>
    </w:p>
    <w:p w14:paraId="2ED36BCC" w14:textId="45BF726B" w:rsidR="00E57FCA" w:rsidRPr="00E57FCA" w:rsidRDefault="00E57FCA" w:rsidP="00E57FCA">
      <w:pPr>
        <w:spacing w:after="0" w:line="240" w:lineRule="auto"/>
        <w:jc w:val="center"/>
        <w:rPr>
          <w:rFonts w:ascii="Times New Roman" w:hAnsi="Times New Roman" w:cs="Times New Roman"/>
          <w:sz w:val="24"/>
          <w:szCs w:val="24"/>
        </w:rPr>
      </w:pPr>
      <w:r>
        <w:rPr>
          <w:rFonts w:ascii="Times New Roman" w:hAnsi="Times New Roman"/>
          <w:sz w:val="24"/>
        </w:rPr>
        <w:t>Begriffsbestimmungen</w:t>
      </w:r>
    </w:p>
    <w:p w14:paraId="7E0C9FED" w14:textId="77777777" w:rsidR="0027734E" w:rsidRDefault="0027734E" w:rsidP="00E57FCA">
      <w:pPr>
        <w:spacing w:after="0" w:line="240" w:lineRule="auto"/>
        <w:jc w:val="both"/>
        <w:rPr>
          <w:rFonts w:ascii="Times New Roman" w:hAnsi="Times New Roman" w:cs="Times New Roman"/>
          <w:sz w:val="24"/>
          <w:szCs w:val="24"/>
        </w:rPr>
      </w:pPr>
    </w:p>
    <w:p w14:paraId="5A92E422" w14:textId="079F51E3" w:rsidR="00E57FCA" w:rsidRDefault="00E57FCA" w:rsidP="00E57FCA">
      <w:pPr>
        <w:spacing w:after="0" w:line="240" w:lineRule="auto"/>
        <w:jc w:val="both"/>
        <w:rPr>
          <w:rFonts w:ascii="Times New Roman" w:hAnsi="Times New Roman" w:cs="Times New Roman"/>
          <w:sz w:val="24"/>
          <w:szCs w:val="24"/>
        </w:rPr>
      </w:pPr>
    </w:p>
    <w:p w14:paraId="1778C4C0" w14:textId="2BCB6D8C"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b/>
          <w:sz w:val="24"/>
        </w:rPr>
        <w:tab/>
        <w:t>Art. 2 -</w:t>
      </w:r>
      <w:r>
        <w:rPr>
          <w:rFonts w:ascii="Times New Roman" w:hAnsi="Times New Roman"/>
          <w:sz w:val="24"/>
        </w:rPr>
        <w:t xml:space="preserve"> Für die Anwendung des vorliegenden Erlasses gelten folgende Begriffsbestimmungen:</w:t>
      </w:r>
    </w:p>
    <w:p w14:paraId="2EC6335C" w14:textId="77777777" w:rsidR="00E57FCA" w:rsidRDefault="00E57FCA" w:rsidP="00E57FCA">
      <w:pPr>
        <w:spacing w:after="0" w:line="240" w:lineRule="auto"/>
        <w:jc w:val="both"/>
        <w:rPr>
          <w:rFonts w:ascii="Times New Roman" w:hAnsi="Times New Roman" w:cs="Times New Roman"/>
          <w:sz w:val="24"/>
          <w:szCs w:val="24"/>
        </w:rPr>
      </w:pPr>
    </w:p>
    <w:p w14:paraId="0F20B59F" w14:textId="45605250"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1. nichtindustrielles Heizgerät: Heizgerät, das im Königlichen Erlass vom 12. Oktober 2010 zur Regelung der Mindestanforderungen an den Wirkungsgrad und die Höhe der Schadstoffemissionen von Heizgeräten für Festbrennstoffe erwähnt ist,</w:t>
      </w:r>
    </w:p>
    <w:p w14:paraId="38F93349" w14:textId="77777777" w:rsidR="00E57FCA" w:rsidRDefault="00E57FCA" w:rsidP="00E57FCA">
      <w:pPr>
        <w:spacing w:after="0" w:line="240" w:lineRule="auto"/>
        <w:jc w:val="both"/>
        <w:rPr>
          <w:rFonts w:ascii="Times New Roman" w:hAnsi="Times New Roman" w:cs="Times New Roman"/>
          <w:sz w:val="24"/>
          <w:szCs w:val="24"/>
        </w:rPr>
      </w:pPr>
    </w:p>
    <w:p w14:paraId="74E44D41" w14:textId="1B42B3C9"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2. Biomasse: biologisch abbaubarer Teil von Erzeugnissen, Abfällen und Reststoffen der Landwirtschaft mit biologischem Ursprung (einschließlich pflanzlicher und tierischer Stoffe), der Forstwirtschaft und damit verbundener Wirtschaftszweige einschließlich der Fischerei und der Aquakultur sowie biologisch abbaubarer Teil von Abfällen aus Industrie und Haushalten,</w:t>
      </w:r>
    </w:p>
    <w:p w14:paraId="37E6C590" w14:textId="77777777" w:rsidR="00E57FCA" w:rsidRDefault="00E57FCA" w:rsidP="00E57FCA">
      <w:pPr>
        <w:spacing w:after="0" w:line="240" w:lineRule="auto"/>
        <w:jc w:val="both"/>
        <w:rPr>
          <w:rFonts w:ascii="Times New Roman" w:hAnsi="Times New Roman" w:cs="Times New Roman"/>
          <w:sz w:val="24"/>
          <w:szCs w:val="24"/>
        </w:rPr>
      </w:pPr>
    </w:p>
    <w:p w14:paraId="7574B52A" w14:textId="68F7EEFF"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3. gefährliche Stoffe: Stoffe, wie in Artikel 2 Nr. 7 des Gesetzes vom 21. Dezember 1998 über Produktnormen zur Förderung umweltverträglicher Produktions- und Konsummuster und zum Schutz der Umwelt und der Gesundheit erwähnt,</w:t>
      </w:r>
    </w:p>
    <w:p w14:paraId="1C224956" w14:textId="77777777" w:rsidR="00E57FCA" w:rsidRDefault="00E57FCA" w:rsidP="00E57FCA">
      <w:pPr>
        <w:spacing w:after="0" w:line="240" w:lineRule="auto"/>
        <w:jc w:val="both"/>
        <w:rPr>
          <w:rFonts w:ascii="Times New Roman" w:hAnsi="Times New Roman" w:cs="Times New Roman"/>
          <w:sz w:val="24"/>
          <w:szCs w:val="24"/>
        </w:rPr>
      </w:pPr>
    </w:p>
    <w:p w14:paraId="19570485" w14:textId="0A98A9B2"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4. erneuerbarer Festbrennstoff: Festbrennstoff, der zu 100 Prozent aus Biomasse besteht, die nicht mit gefährlichen Stoffen verunreinigt ist,</w:t>
      </w:r>
    </w:p>
    <w:p w14:paraId="08C41DF1" w14:textId="77777777" w:rsidR="00E57FCA" w:rsidRDefault="00E57FCA" w:rsidP="00E57FCA">
      <w:pPr>
        <w:spacing w:after="0" w:line="240" w:lineRule="auto"/>
        <w:jc w:val="both"/>
        <w:rPr>
          <w:rFonts w:ascii="Times New Roman" w:hAnsi="Times New Roman" w:cs="Times New Roman"/>
          <w:sz w:val="24"/>
          <w:szCs w:val="24"/>
        </w:rPr>
      </w:pPr>
    </w:p>
    <w:p w14:paraId="3A552A53" w14:textId="1DB2CB36"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5. Holzpellet: erneuerbarer verdichteter Festbrennstoff aus gemahlener Holzbiomasse, mit oder ohne organischem Bindemittel, in der Regel in zylindrischer Form, mit einer zufallsbedingten Länge zwischen 3,15 und 45 mm und gebrochenen Enden,</w:t>
      </w:r>
    </w:p>
    <w:p w14:paraId="13433D87" w14:textId="77777777" w:rsidR="00E57FCA" w:rsidRDefault="00E57FCA" w:rsidP="00E57FCA">
      <w:pPr>
        <w:spacing w:after="0" w:line="240" w:lineRule="auto"/>
        <w:jc w:val="both"/>
        <w:rPr>
          <w:rFonts w:ascii="Times New Roman" w:hAnsi="Times New Roman" w:cs="Times New Roman"/>
          <w:sz w:val="24"/>
          <w:szCs w:val="24"/>
        </w:rPr>
      </w:pPr>
    </w:p>
    <w:p w14:paraId="70457AFB" w14:textId="50E06B48"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6. organisches Bindemittel: organische Stoffe, zum Beispiel Stärke oder Melasse, die vor oder während des Verdichtungsverfahrens zur Erhöhung der Kohäsion des Erzeugnisses hinzugefügt werden, wobei alle anderen Parameter unverändert bleiben,</w:t>
      </w:r>
    </w:p>
    <w:p w14:paraId="0A31DE5E" w14:textId="77777777" w:rsidR="00E57FCA" w:rsidRDefault="00E57FCA" w:rsidP="00E57FCA">
      <w:pPr>
        <w:spacing w:after="0" w:line="240" w:lineRule="auto"/>
        <w:jc w:val="both"/>
        <w:rPr>
          <w:rFonts w:ascii="Times New Roman" w:hAnsi="Times New Roman" w:cs="Times New Roman"/>
          <w:sz w:val="24"/>
          <w:szCs w:val="24"/>
        </w:rPr>
      </w:pPr>
    </w:p>
    <w:p w14:paraId="348BDE4E" w14:textId="6652F5C0"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7. chemisch unbehandeltes Holz: Holz, das nicht behandelt wurde, beispielsweise durch Zugabe von Leim, Lack, Farbe, durch Imprägnierung, Fungizidbehandlung usw.,</w:t>
      </w:r>
    </w:p>
    <w:p w14:paraId="1BA569F7" w14:textId="77777777" w:rsidR="00E57FCA" w:rsidRDefault="00E57FCA" w:rsidP="00E57FCA">
      <w:pPr>
        <w:spacing w:after="0" w:line="240" w:lineRule="auto"/>
        <w:jc w:val="both"/>
        <w:rPr>
          <w:rFonts w:ascii="Times New Roman" w:hAnsi="Times New Roman" w:cs="Times New Roman"/>
          <w:sz w:val="24"/>
          <w:szCs w:val="24"/>
        </w:rPr>
      </w:pPr>
    </w:p>
    <w:p w14:paraId="74DC1832" w14:textId="17AABABE"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8. Etikett für zertifizierte Qualität: Etikett anhand dessen der Verbraucher die zertifizierten Anforderungen an Holzpellets zur Kenntnis nimmt,</w:t>
      </w:r>
    </w:p>
    <w:p w14:paraId="33A1EF96" w14:textId="77777777" w:rsidR="00E57FCA" w:rsidRDefault="00E57FCA" w:rsidP="00E57FCA">
      <w:pPr>
        <w:spacing w:after="0" w:line="240" w:lineRule="auto"/>
        <w:jc w:val="both"/>
        <w:rPr>
          <w:rFonts w:ascii="Times New Roman" w:hAnsi="Times New Roman" w:cs="Times New Roman"/>
          <w:sz w:val="24"/>
          <w:szCs w:val="24"/>
        </w:rPr>
      </w:pPr>
    </w:p>
    <w:p w14:paraId="3A992968" w14:textId="0BCAC565"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9. zugelassenes Labor: im Rahmen des vorliegenden Erlasses akkreditiertes Labor,</w:t>
      </w:r>
    </w:p>
    <w:p w14:paraId="1A6E80D3" w14:textId="77777777" w:rsidR="00E57FCA" w:rsidRDefault="00E57FCA" w:rsidP="00E57FCA">
      <w:pPr>
        <w:spacing w:after="0" w:line="240" w:lineRule="auto"/>
        <w:jc w:val="both"/>
        <w:rPr>
          <w:rFonts w:ascii="Times New Roman" w:hAnsi="Times New Roman" w:cs="Times New Roman"/>
          <w:sz w:val="24"/>
          <w:szCs w:val="24"/>
        </w:rPr>
      </w:pPr>
    </w:p>
    <w:p w14:paraId="20D63C59" w14:textId="7D037A45"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10. zuständige Behörde: die Generaldirektion Umwelt des FÖD Volksgesundheit, Sicherheit der Nahrungsmittelkette und Umwelt,</w:t>
      </w:r>
    </w:p>
    <w:p w14:paraId="6C2DA2D8" w14:textId="77777777" w:rsidR="00E57FCA" w:rsidRDefault="00E57FCA" w:rsidP="00E57FCA">
      <w:pPr>
        <w:spacing w:after="0" w:line="240" w:lineRule="auto"/>
        <w:jc w:val="both"/>
        <w:rPr>
          <w:rFonts w:ascii="Times New Roman" w:hAnsi="Times New Roman" w:cs="Times New Roman"/>
          <w:sz w:val="24"/>
          <w:szCs w:val="24"/>
        </w:rPr>
      </w:pPr>
    </w:p>
    <w:p w14:paraId="55D5D356" w14:textId="16D54E3A"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11. zuständiger Dienst: der Inspektionsdienst der Generaldirektion Umwelt des FÖD Volksgesundheit, Sicherheit der Nahrungsmittelkette und Umwelt.</w:t>
      </w:r>
    </w:p>
    <w:p w14:paraId="35F87F90" w14:textId="77777777" w:rsidR="00E57FCA" w:rsidRDefault="00E57FCA" w:rsidP="00E57FCA">
      <w:pPr>
        <w:spacing w:after="0" w:line="240" w:lineRule="auto"/>
        <w:jc w:val="both"/>
        <w:rPr>
          <w:rFonts w:ascii="Times New Roman" w:hAnsi="Times New Roman" w:cs="Times New Roman"/>
          <w:sz w:val="24"/>
          <w:szCs w:val="24"/>
        </w:rPr>
      </w:pPr>
    </w:p>
    <w:p w14:paraId="26E1B835" w14:textId="77777777" w:rsidR="00E57FCA" w:rsidRDefault="00E57FCA" w:rsidP="00E57FCA">
      <w:pPr>
        <w:spacing w:after="0" w:line="240" w:lineRule="auto"/>
        <w:jc w:val="both"/>
        <w:rPr>
          <w:rFonts w:ascii="Times New Roman" w:hAnsi="Times New Roman" w:cs="Times New Roman"/>
          <w:sz w:val="24"/>
          <w:szCs w:val="24"/>
        </w:rPr>
      </w:pPr>
    </w:p>
    <w:p w14:paraId="13E8D4EB" w14:textId="77777777" w:rsidR="0019598A" w:rsidRDefault="0019598A">
      <w:pPr>
        <w:rPr>
          <w:rFonts w:ascii="Times New Roman" w:hAnsi="Times New Roman"/>
          <w:sz w:val="24"/>
        </w:rPr>
      </w:pPr>
      <w:r>
        <w:rPr>
          <w:rFonts w:ascii="Times New Roman" w:hAnsi="Times New Roman"/>
          <w:sz w:val="24"/>
        </w:rPr>
        <w:br w:type="page"/>
      </w:r>
    </w:p>
    <w:p w14:paraId="07195C25" w14:textId="1C20083D" w:rsidR="00E57FCA" w:rsidRPr="00E57FCA" w:rsidRDefault="00E57FCA" w:rsidP="00E57FCA">
      <w:pPr>
        <w:spacing w:after="0" w:line="240" w:lineRule="auto"/>
        <w:jc w:val="center"/>
        <w:rPr>
          <w:rFonts w:ascii="Times New Roman" w:hAnsi="Times New Roman" w:cs="Times New Roman"/>
          <w:sz w:val="24"/>
          <w:szCs w:val="24"/>
        </w:rPr>
      </w:pPr>
      <w:r>
        <w:rPr>
          <w:rFonts w:ascii="Times New Roman" w:hAnsi="Times New Roman"/>
          <w:sz w:val="24"/>
        </w:rPr>
        <w:lastRenderedPageBreak/>
        <w:t>Bedingungen für das Inverkehrbringen</w:t>
      </w:r>
    </w:p>
    <w:p w14:paraId="72F09902" w14:textId="77777777" w:rsidR="00E57FCA" w:rsidRDefault="00E57FCA" w:rsidP="00E57FCA">
      <w:pPr>
        <w:spacing w:after="0" w:line="240" w:lineRule="auto"/>
        <w:jc w:val="both"/>
        <w:rPr>
          <w:rFonts w:ascii="Times New Roman" w:hAnsi="Times New Roman" w:cs="Times New Roman"/>
          <w:sz w:val="24"/>
          <w:szCs w:val="24"/>
        </w:rPr>
      </w:pPr>
    </w:p>
    <w:p w14:paraId="7A1CB50B" w14:textId="77777777" w:rsidR="00E57FCA" w:rsidRPr="00E57FCA" w:rsidRDefault="00E57FCA" w:rsidP="00E57FCA">
      <w:pPr>
        <w:spacing w:after="0" w:line="240" w:lineRule="auto"/>
        <w:jc w:val="both"/>
        <w:rPr>
          <w:rFonts w:ascii="Times New Roman" w:hAnsi="Times New Roman" w:cs="Times New Roman"/>
          <w:sz w:val="24"/>
          <w:szCs w:val="24"/>
        </w:rPr>
      </w:pPr>
    </w:p>
    <w:p w14:paraId="132AC9F4" w14:textId="4CC8D3CD" w:rsidR="00E57FCA" w:rsidRPr="00E57FCA" w:rsidRDefault="00E57FCA" w:rsidP="0019598A">
      <w:pPr>
        <w:rPr>
          <w:rFonts w:ascii="Times New Roman" w:hAnsi="Times New Roman" w:cs="Times New Roman"/>
          <w:sz w:val="24"/>
          <w:szCs w:val="24"/>
        </w:rPr>
      </w:pPr>
      <w:r>
        <w:rPr>
          <w:rFonts w:ascii="Times New Roman" w:hAnsi="Times New Roman"/>
          <w:b/>
          <w:sz w:val="24"/>
        </w:rPr>
        <w:tab/>
        <w:t>Art. 3 -</w:t>
      </w:r>
      <w:r>
        <w:rPr>
          <w:rFonts w:ascii="Times New Roman" w:hAnsi="Times New Roman"/>
          <w:sz w:val="24"/>
        </w:rPr>
        <w:t xml:space="preserve"> § 1 ­ Es ist verboten, Holzpellets in Verkehr zu bringen, die:</w:t>
      </w:r>
    </w:p>
    <w:p w14:paraId="7CA0A51F" w14:textId="77777777" w:rsidR="00E57FCA" w:rsidRDefault="00E57FCA" w:rsidP="00E57FCA">
      <w:pPr>
        <w:spacing w:after="0" w:line="240" w:lineRule="auto"/>
        <w:jc w:val="both"/>
        <w:rPr>
          <w:rFonts w:ascii="Times New Roman" w:hAnsi="Times New Roman" w:cs="Times New Roman"/>
          <w:sz w:val="24"/>
          <w:szCs w:val="24"/>
        </w:rPr>
      </w:pPr>
    </w:p>
    <w:p w14:paraId="6B926297" w14:textId="454F9B04"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 nicht den Produktnormen von Artikel 5 entsprechen,</w:t>
      </w:r>
    </w:p>
    <w:p w14:paraId="3E378F13" w14:textId="77777777" w:rsidR="00E57FCA" w:rsidRDefault="00E57FCA" w:rsidP="00E57FCA">
      <w:pPr>
        <w:spacing w:after="0" w:line="240" w:lineRule="auto"/>
        <w:jc w:val="both"/>
        <w:rPr>
          <w:rFonts w:ascii="Times New Roman" w:hAnsi="Times New Roman" w:cs="Times New Roman"/>
          <w:sz w:val="24"/>
          <w:szCs w:val="24"/>
        </w:rPr>
      </w:pPr>
    </w:p>
    <w:p w14:paraId="69DD2999" w14:textId="7478A823"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 nicht mit dem Etikett für zertifizierte Qualität versehen sind.</w:t>
      </w:r>
    </w:p>
    <w:p w14:paraId="58EAD068" w14:textId="77777777" w:rsidR="00E57FCA" w:rsidRDefault="00E57FCA" w:rsidP="00E57FCA">
      <w:pPr>
        <w:spacing w:after="0" w:line="240" w:lineRule="auto"/>
        <w:jc w:val="both"/>
        <w:rPr>
          <w:rFonts w:ascii="Times New Roman" w:hAnsi="Times New Roman" w:cs="Times New Roman"/>
          <w:sz w:val="24"/>
          <w:szCs w:val="24"/>
        </w:rPr>
      </w:pPr>
    </w:p>
    <w:p w14:paraId="6491BE67" w14:textId="212E87C8"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 2 ­ Die zuständige Behörde erkennt die von anderen Mitgliedstaaten der Europäischen Union zertifizierten Qualitätszeichen an.</w:t>
      </w:r>
    </w:p>
    <w:p w14:paraId="2E44347C" w14:textId="77777777" w:rsidR="00E57FCA" w:rsidRDefault="00E57FCA" w:rsidP="00E57FCA">
      <w:pPr>
        <w:spacing w:after="0" w:line="240" w:lineRule="auto"/>
        <w:jc w:val="both"/>
        <w:rPr>
          <w:rFonts w:ascii="Times New Roman" w:hAnsi="Times New Roman" w:cs="Times New Roman"/>
          <w:sz w:val="24"/>
          <w:szCs w:val="24"/>
        </w:rPr>
      </w:pPr>
    </w:p>
    <w:p w14:paraId="46425DDE" w14:textId="249CEED6"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 3 ­ Die in § 2 erwähnten zertifizierten Qualitätszeichen müssen auf allen Pelletsäcken abgebildet sein.</w:t>
      </w:r>
    </w:p>
    <w:p w14:paraId="2429B8C9" w14:textId="77777777" w:rsidR="00E57FCA" w:rsidRDefault="00E57FCA" w:rsidP="00E57FCA">
      <w:pPr>
        <w:spacing w:after="0" w:line="240" w:lineRule="auto"/>
        <w:jc w:val="both"/>
        <w:rPr>
          <w:rFonts w:ascii="Times New Roman" w:hAnsi="Times New Roman" w:cs="Times New Roman"/>
          <w:sz w:val="24"/>
          <w:szCs w:val="24"/>
        </w:rPr>
      </w:pPr>
    </w:p>
    <w:p w14:paraId="4EF2161E" w14:textId="77777777" w:rsidR="00E57FCA" w:rsidRDefault="00E57FCA" w:rsidP="00E57FCA">
      <w:pPr>
        <w:spacing w:after="0" w:line="240" w:lineRule="auto"/>
        <w:jc w:val="both"/>
        <w:rPr>
          <w:rFonts w:ascii="Times New Roman" w:hAnsi="Times New Roman" w:cs="Times New Roman"/>
          <w:sz w:val="24"/>
          <w:szCs w:val="24"/>
        </w:rPr>
      </w:pPr>
    </w:p>
    <w:p w14:paraId="7B17EF6D" w14:textId="44A90129" w:rsidR="00E57FCA" w:rsidRPr="00E57FCA" w:rsidRDefault="0027734E" w:rsidP="00E57FCA">
      <w:pPr>
        <w:spacing w:after="0" w:line="240" w:lineRule="auto"/>
        <w:jc w:val="center"/>
        <w:rPr>
          <w:rFonts w:ascii="Times New Roman" w:hAnsi="Times New Roman" w:cs="Times New Roman"/>
          <w:sz w:val="24"/>
          <w:szCs w:val="24"/>
        </w:rPr>
      </w:pPr>
      <w:r>
        <w:rPr>
          <w:rFonts w:ascii="Times New Roman" w:hAnsi="Times New Roman"/>
          <w:sz w:val="24"/>
        </w:rPr>
        <w:t>Etikett für zertifizierte Qualität</w:t>
      </w:r>
    </w:p>
    <w:p w14:paraId="60492A5F" w14:textId="77777777" w:rsidR="00E57FCA" w:rsidRDefault="00E57FCA" w:rsidP="00E57FCA">
      <w:pPr>
        <w:spacing w:after="0" w:line="240" w:lineRule="auto"/>
        <w:jc w:val="both"/>
        <w:rPr>
          <w:rFonts w:ascii="Times New Roman" w:hAnsi="Times New Roman" w:cs="Times New Roman"/>
          <w:sz w:val="24"/>
          <w:szCs w:val="24"/>
        </w:rPr>
      </w:pPr>
    </w:p>
    <w:p w14:paraId="255E50BF" w14:textId="77777777" w:rsidR="00E57FCA" w:rsidRPr="00E57FCA" w:rsidRDefault="00E57FCA" w:rsidP="00E57FCA">
      <w:pPr>
        <w:spacing w:after="0" w:line="240" w:lineRule="auto"/>
        <w:jc w:val="both"/>
        <w:rPr>
          <w:rFonts w:ascii="Times New Roman" w:hAnsi="Times New Roman" w:cs="Times New Roman"/>
          <w:sz w:val="24"/>
          <w:szCs w:val="24"/>
        </w:rPr>
      </w:pPr>
    </w:p>
    <w:p w14:paraId="71EB6F6D" w14:textId="6E1787B0"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b/>
          <w:sz w:val="24"/>
        </w:rPr>
        <w:tab/>
        <w:t>Art. 4 -</w:t>
      </w:r>
      <w:r>
        <w:rPr>
          <w:rFonts w:ascii="Times New Roman" w:hAnsi="Times New Roman"/>
          <w:sz w:val="24"/>
        </w:rPr>
        <w:t xml:space="preserve"> § 1 ­ Auf dem Etikett für zertifizierte Qualität befinden sich mindestens folgende Angaben:</w:t>
      </w:r>
    </w:p>
    <w:p w14:paraId="7CB01637" w14:textId="77777777" w:rsidR="00E57FCA" w:rsidRDefault="00E57FCA" w:rsidP="00E57FCA">
      <w:pPr>
        <w:spacing w:after="0" w:line="240" w:lineRule="auto"/>
        <w:jc w:val="both"/>
        <w:rPr>
          <w:rFonts w:ascii="Times New Roman" w:hAnsi="Times New Roman" w:cs="Times New Roman"/>
          <w:sz w:val="24"/>
          <w:szCs w:val="24"/>
        </w:rPr>
      </w:pPr>
    </w:p>
    <w:p w14:paraId="701E9E88" w14:textId="229E4A34"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 Name des Herstellers oder seines in der Europäischen Union ansässigen Bevollmächtigten,</w:t>
      </w:r>
    </w:p>
    <w:p w14:paraId="5296D9D2" w14:textId="77777777" w:rsidR="00E57FCA" w:rsidRDefault="00E57FCA" w:rsidP="00E57FCA">
      <w:pPr>
        <w:spacing w:after="0" w:line="240" w:lineRule="auto"/>
        <w:jc w:val="both"/>
        <w:rPr>
          <w:rFonts w:ascii="Times New Roman" w:hAnsi="Times New Roman" w:cs="Times New Roman"/>
          <w:sz w:val="24"/>
          <w:szCs w:val="24"/>
        </w:rPr>
      </w:pPr>
    </w:p>
    <w:p w14:paraId="61B4C403" w14:textId="1DA3C9F2"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 Herkunft der Biomasse (Land/Länder),</w:t>
      </w:r>
    </w:p>
    <w:p w14:paraId="27E6C4CD" w14:textId="77777777" w:rsidR="00E57FCA" w:rsidRDefault="00E57FCA" w:rsidP="00E57FCA">
      <w:pPr>
        <w:spacing w:after="0" w:line="240" w:lineRule="auto"/>
        <w:jc w:val="both"/>
        <w:rPr>
          <w:rFonts w:ascii="Times New Roman" w:hAnsi="Times New Roman" w:cs="Times New Roman"/>
          <w:sz w:val="24"/>
          <w:szCs w:val="24"/>
        </w:rPr>
      </w:pPr>
    </w:p>
    <w:p w14:paraId="6ED083A0" w14:textId="2D916B3B"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 Handelsmarke der Holzpellets,</w:t>
      </w:r>
    </w:p>
    <w:p w14:paraId="7C595563" w14:textId="77777777" w:rsidR="00E57FCA" w:rsidRDefault="00E57FCA" w:rsidP="00E57FCA">
      <w:pPr>
        <w:spacing w:after="0" w:line="240" w:lineRule="auto"/>
        <w:jc w:val="both"/>
        <w:rPr>
          <w:rFonts w:ascii="Times New Roman" w:hAnsi="Times New Roman" w:cs="Times New Roman"/>
          <w:sz w:val="24"/>
          <w:szCs w:val="24"/>
        </w:rPr>
      </w:pPr>
    </w:p>
    <w:p w14:paraId="5056777A" w14:textId="2F871977"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 der Satz: "Hiermit erklären wir, dass diese Holzpellets den Anforderungen des Königlichen Erlasses vom 5. April 2011 zur Festlegung der Anforderungen an Holzpellets für nichtindustrielle Heizgeräte entsprechen.",</w:t>
      </w:r>
    </w:p>
    <w:p w14:paraId="16117AE0" w14:textId="77777777" w:rsidR="00E57FCA" w:rsidRDefault="00E57FCA" w:rsidP="00E57FCA">
      <w:pPr>
        <w:spacing w:after="0" w:line="240" w:lineRule="auto"/>
        <w:jc w:val="both"/>
        <w:rPr>
          <w:rFonts w:ascii="Times New Roman" w:hAnsi="Times New Roman" w:cs="Times New Roman"/>
          <w:sz w:val="24"/>
          <w:szCs w:val="24"/>
        </w:rPr>
      </w:pPr>
    </w:p>
    <w:p w14:paraId="203261F5" w14:textId="6CE8B352"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 Wassergehalt in Prozent der Feuchtmasse,</w:t>
      </w:r>
    </w:p>
    <w:p w14:paraId="426C6A8F" w14:textId="77777777" w:rsidR="00E57FCA" w:rsidRDefault="00E57FCA" w:rsidP="00E57FCA">
      <w:pPr>
        <w:spacing w:after="0" w:line="240" w:lineRule="auto"/>
        <w:jc w:val="both"/>
        <w:rPr>
          <w:rFonts w:ascii="Times New Roman" w:hAnsi="Times New Roman" w:cs="Times New Roman"/>
          <w:sz w:val="24"/>
          <w:szCs w:val="24"/>
        </w:rPr>
      </w:pPr>
    </w:p>
    <w:p w14:paraId="47E4B74A" w14:textId="3634451E"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 Aschegehalt in Prozent der Trockenmasse,</w:t>
      </w:r>
    </w:p>
    <w:p w14:paraId="6261DC9E" w14:textId="77777777" w:rsid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r>
    </w:p>
    <w:p w14:paraId="2C587012" w14:textId="0E4C568F"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 Heizwert in MJ/kg, berechnet auf der Grundlage des Wasser- und Aschegehalts,</w:t>
      </w:r>
    </w:p>
    <w:p w14:paraId="44A0F873" w14:textId="77777777" w:rsidR="00E57FCA" w:rsidRDefault="00E57FCA" w:rsidP="00E57FCA">
      <w:pPr>
        <w:spacing w:after="0" w:line="240" w:lineRule="auto"/>
        <w:jc w:val="both"/>
        <w:rPr>
          <w:rFonts w:ascii="Times New Roman" w:hAnsi="Times New Roman" w:cs="Times New Roman"/>
          <w:sz w:val="24"/>
          <w:szCs w:val="24"/>
        </w:rPr>
      </w:pPr>
    </w:p>
    <w:p w14:paraId="57D02260" w14:textId="21A16A71"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 Länge in mm,</w:t>
      </w:r>
    </w:p>
    <w:p w14:paraId="1C51DE60" w14:textId="77777777" w:rsidR="00E57FCA" w:rsidRDefault="00E57FCA" w:rsidP="00E57FCA">
      <w:pPr>
        <w:spacing w:after="0" w:line="240" w:lineRule="auto"/>
        <w:jc w:val="both"/>
        <w:rPr>
          <w:rFonts w:ascii="Times New Roman" w:hAnsi="Times New Roman" w:cs="Times New Roman"/>
          <w:sz w:val="24"/>
          <w:szCs w:val="24"/>
        </w:rPr>
      </w:pPr>
    </w:p>
    <w:p w14:paraId="66C3B3C9" w14:textId="487D3742"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 Durchmesser in mm,</w:t>
      </w:r>
    </w:p>
    <w:p w14:paraId="522EDDBC" w14:textId="77777777" w:rsid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r>
    </w:p>
    <w:p w14:paraId="7CD509F8" w14:textId="06BDC063"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 Feinanteil in Prozent in Verkaufsstellen,</w:t>
      </w:r>
    </w:p>
    <w:p w14:paraId="3E854CBF" w14:textId="77777777" w:rsidR="00E57FCA" w:rsidRDefault="00E57FCA" w:rsidP="00E57FCA">
      <w:pPr>
        <w:spacing w:after="0" w:line="240" w:lineRule="auto"/>
        <w:jc w:val="both"/>
        <w:rPr>
          <w:rFonts w:ascii="Times New Roman" w:hAnsi="Times New Roman" w:cs="Times New Roman"/>
          <w:sz w:val="24"/>
          <w:szCs w:val="24"/>
        </w:rPr>
      </w:pPr>
    </w:p>
    <w:p w14:paraId="13EC7B23" w14:textId="1ADE10F5"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 mechanische Festigkeit in Prozent</w:t>
      </w:r>
    </w:p>
    <w:p w14:paraId="249E0505" w14:textId="77777777" w:rsidR="00E57FCA" w:rsidRDefault="00E57FCA" w:rsidP="00E57FCA">
      <w:pPr>
        <w:spacing w:after="0" w:line="240" w:lineRule="auto"/>
        <w:jc w:val="both"/>
        <w:rPr>
          <w:rFonts w:ascii="Times New Roman" w:hAnsi="Times New Roman" w:cs="Times New Roman"/>
          <w:sz w:val="24"/>
          <w:szCs w:val="24"/>
        </w:rPr>
      </w:pPr>
    </w:p>
    <w:p w14:paraId="723CB3EB" w14:textId="5D334E08"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oder</w:t>
      </w:r>
    </w:p>
    <w:p w14:paraId="6C369AE5" w14:textId="77777777" w:rsidR="00E57FCA" w:rsidRDefault="00E57FCA" w:rsidP="00E57FCA">
      <w:pPr>
        <w:spacing w:after="0" w:line="240" w:lineRule="auto"/>
        <w:jc w:val="both"/>
        <w:rPr>
          <w:rFonts w:ascii="Times New Roman" w:hAnsi="Times New Roman" w:cs="Times New Roman"/>
          <w:sz w:val="24"/>
          <w:szCs w:val="24"/>
        </w:rPr>
      </w:pPr>
    </w:p>
    <w:p w14:paraId="1DCF4625" w14:textId="388A4E89"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 Abrieb,</w:t>
      </w:r>
    </w:p>
    <w:p w14:paraId="30CA0B1A" w14:textId="77777777" w:rsidR="00E57FCA" w:rsidRDefault="00E57FCA" w:rsidP="00E57FCA">
      <w:pPr>
        <w:spacing w:after="0" w:line="240" w:lineRule="auto"/>
        <w:jc w:val="both"/>
        <w:rPr>
          <w:rFonts w:ascii="Times New Roman" w:hAnsi="Times New Roman" w:cs="Times New Roman"/>
          <w:sz w:val="24"/>
          <w:szCs w:val="24"/>
        </w:rPr>
      </w:pPr>
    </w:p>
    <w:p w14:paraId="33C2B203" w14:textId="5218B165"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 Herstellungsdatum im Format TT.MM.JJJJ.</w:t>
      </w:r>
    </w:p>
    <w:p w14:paraId="6CA653D3" w14:textId="77777777" w:rsidR="00E57FCA" w:rsidRDefault="00E57FCA" w:rsidP="00E57FCA">
      <w:pPr>
        <w:spacing w:after="0" w:line="240" w:lineRule="auto"/>
        <w:jc w:val="both"/>
        <w:rPr>
          <w:rFonts w:ascii="Times New Roman" w:hAnsi="Times New Roman" w:cs="Times New Roman"/>
          <w:sz w:val="24"/>
          <w:szCs w:val="24"/>
        </w:rPr>
      </w:pPr>
    </w:p>
    <w:p w14:paraId="4F33FC40" w14:textId="1FADE15D"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 2 ­ Wenn Holzpellets als Sackware in Verkehr gebracht werden, muss das Etikett für zertifizierte Qualität auf allen Säcken sichtbar und lesbar sein.</w:t>
      </w:r>
    </w:p>
    <w:p w14:paraId="37FA1225" w14:textId="77777777" w:rsidR="00E57FCA" w:rsidRDefault="00E57FCA" w:rsidP="00E57FCA">
      <w:pPr>
        <w:spacing w:after="0" w:line="240" w:lineRule="auto"/>
        <w:jc w:val="both"/>
        <w:rPr>
          <w:rFonts w:ascii="Times New Roman" w:hAnsi="Times New Roman" w:cs="Times New Roman"/>
          <w:sz w:val="24"/>
          <w:szCs w:val="24"/>
        </w:rPr>
      </w:pPr>
    </w:p>
    <w:p w14:paraId="1860F0F4" w14:textId="0F96EBD6"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Bei einem Inverkehrbringen als Schüttgut muss das Etikett für zertifizierte Qualität dem Kunden zusammen mit seiner Rechnung ausgehändigt werden.</w:t>
      </w:r>
    </w:p>
    <w:p w14:paraId="30ECED82" w14:textId="77777777" w:rsidR="00E57FCA" w:rsidRDefault="00E57FCA" w:rsidP="00E57FCA">
      <w:pPr>
        <w:spacing w:after="0" w:line="240" w:lineRule="auto"/>
        <w:jc w:val="both"/>
        <w:rPr>
          <w:rFonts w:ascii="Times New Roman" w:hAnsi="Times New Roman" w:cs="Times New Roman"/>
          <w:sz w:val="24"/>
          <w:szCs w:val="24"/>
        </w:rPr>
      </w:pPr>
    </w:p>
    <w:p w14:paraId="5A0881FA" w14:textId="6457F3D9"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 3 ­ Die Etiketten werden in der Sprache oder den Sprachen des Sprachgebietes verfasst, in dem die Holzpellets in Verkehr gebracht werden.</w:t>
      </w:r>
    </w:p>
    <w:p w14:paraId="65592429" w14:textId="77777777" w:rsidR="00E57FCA" w:rsidRDefault="00E57FCA" w:rsidP="00E57FCA">
      <w:pPr>
        <w:spacing w:after="0" w:line="240" w:lineRule="auto"/>
        <w:jc w:val="both"/>
        <w:rPr>
          <w:rFonts w:ascii="Times New Roman" w:hAnsi="Times New Roman" w:cs="Times New Roman"/>
          <w:sz w:val="24"/>
          <w:szCs w:val="24"/>
        </w:rPr>
      </w:pPr>
    </w:p>
    <w:p w14:paraId="04E69ED9" w14:textId="77777777" w:rsidR="00E57FCA" w:rsidRDefault="00E57FCA" w:rsidP="00E57FCA">
      <w:pPr>
        <w:spacing w:after="0" w:line="240" w:lineRule="auto"/>
        <w:jc w:val="both"/>
        <w:rPr>
          <w:rFonts w:ascii="Times New Roman" w:hAnsi="Times New Roman" w:cs="Times New Roman"/>
          <w:sz w:val="24"/>
          <w:szCs w:val="24"/>
        </w:rPr>
      </w:pPr>
    </w:p>
    <w:p w14:paraId="136F3CA6" w14:textId="27CD2A90" w:rsidR="00E57FCA" w:rsidRPr="00E57FCA" w:rsidRDefault="00E57FCA" w:rsidP="00E57FCA">
      <w:pPr>
        <w:spacing w:after="0" w:line="240" w:lineRule="auto"/>
        <w:jc w:val="center"/>
        <w:rPr>
          <w:rFonts w:ascii="Times New Roman" w:hAnsi="Times New Roman" w:cs="Times New Roman"/>
          <w:sz w:val="24"/>
          <w:szCs w:val="24"/>
        </w:rPr>
      </w:pPr>
      <w:r>
        <w:rPr>
          <w:rFonts w:ascii="Times New Roman" w:hAnsi="Times New Roman"/>
          <w:sz w:val="24"/>
        </w:rPr>
        <w:t>Produktnormen</w:t>
      </w:r>
    </w:p>
    <w:p w14:paraId="2D766434" w14:textId="77777777" w:rsidR="00E57FCA" w:rsidRDefault="00E57FCA" w:rsidP="00E57FCA">
      <w:pPr>
        <w:spacing w:after="0" w:line="240" w:lineRule="auto"/>
        <w:jc w:val="both"/>
        <w:rPr>
          <w:rFonts w:ascii="Times New Roman" w:hAnsi="Times New Roman" w:cs="Times New Roman"/>
          <w:sz w:val="24"/>
          <w:szCs w:val="24"/>
        </w:rPr>
      </w:pPr>
    </w:p>
    <w:p w14:paraId="2D9119C1" w14:textId="77777777" w:rsidR="00E57FCA" w:rsidRPr="00E57FCA" w:rsidRDefault="00E57FCA" w:rsidP="00E57FCA">
      <w:pPr>
        <w:spacing w:after="0" w:line="240" w:lineRule="auto"/>
        <w:jc w:val="both"/>
        <w:rPr>
          <w:rFonts w:ascii="Times New Roman" w:hAnsi="Times New Roman" w:cs="Times New Roman"/>
          <w:sz w:val="24"/>
          <w:szCs w:val="24"/>
        </w:rPr>
      </w:pPr>
    </w:p>
    <w:p w14:paraId="31EEE5B3" w14:textId="22129DB3"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b/>
          <w:sz w:val="24"/>
        </w:rPr>
        <w:tab/>
        <w:t>Art. 5 -</w:t>
      </w:r>
      <w:r>
        <w:rPr>
          <w:rFonts w:ascii="Times New Roman" w:hAnsi="Times New Roman"/>
          <w:sz w:val="24"/>
        </w:rPr>
        <w:t xml:space="preserve"> § 1 ­ Gemäß Artikel 4 § 1 müssen Holzpellets folgende Nachhaltigkeitsbedingungen hinsichtlich der Herkunft des für ihre Herstellung benötigten Holzes und folgende technische Anforderungen erfüllen:</w:t>
      </w:r>
    </w:p>
    <w:p w14:paraId="4AF6CDB2" w14:textId="061535CE" w:rsidR="00E57FCA" w:rsidRDefault="00E57FCA" w:rsidP="00E57FCA">
      <w:pPr>
        <w:spacing w:after="0" w:line="240" w:lineRule="auto"/>
        <w:jc w:val="both"/>
        <w:rPr>
          <w:rFonts w:ascii="Times New Roman" w:hAnsi="Times New Roman" w:cs="Times New Roman"/>
          <w:sz w:val="24"/>
          <w:szCs w:val="24"/>
        </w:rPr>
      </w:pPr>
    </w:p>
    <w:p w14:paraId="34EED075" w14:textId="5D2A2EE7"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1. Nachhaltigkeit</w:t>
      </w:r>
    </w:p>
    <w:p w14:paraId="58459160" w14:textId="77777777" w:rsidR="00E57FCA" w:rsidRDefault="00E57FCA" w:rsidP="00E57FCA">
      <w:pPr>
        <w:spacing w:after="0" w:line="240" w:lineRule="auto"/>
        <w:jc w:val="both"/>
        <w:rPr>
          <w:rFonts w:ascii="Times New Roman" w:hAnsi="Times New Roman" w:cs="Times New Roman"/>
          <w:sz w:val="24"/>
          <w:szCs w:val="24"/>
        </w:rPr>
      </w:pPr>
    </w:p>
    <w:p w14:paraId="48BFD678" w14:textId="0F1C5A24"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Herkunft des Holzes: Das für die Herstellung von Pellets verwendete Holz muss chemisch unbehandelt sein und aus nachhaltigen Forstbetrieben stammen, zum Beispiel solchen mit FSC-, PEFC-Siegel. Andere Gütesiegel können verwendet werden, sofern sie dieselben Ziele im Bereich nachhaltige Forstwirtschaft verfolgen, wie sie mit den FSC- und PEFC-</w:t>
      </w:r>
      <w:r w:rsidR="001D013D">
        <w:rPr>
          <w:rFonts w:ascii="Times New Roman" w:hAnsi="Times New Roman"/>
          <w:sz w:val="24"/>
        </w:rPr>
        <w:t>S</w:t>
      </w:r>
      <w:r>
        <w:rPr>
          <w:rFonts w:ascii="Times New Roman" w:hAnsi="Times New Roman"/>
          <w:sz w:val="24"/>
        </w:rPr>
        <w:t>iegeln angestrebt werden.</w:t>
      </w:r>
    </w:p>
    <w:p w14:paraId="7320EE07" w14:textId="77777777" w:rsidR="00E57FCA" w:rsidRDefault="00E57FCA" w:rsidP="00E57FCA">
      <w:pPr>
        <w:spacing w:after="0" w:line="240" w:lineRule="auto"/>
        <w:jc w:val="both"/>
        <w:rPr>
          <w:rFonts w:ascii="Times New Roman" w:hAnsi="Times New Roman" w:cs="Times New Roman"/>
          <w:sz w:val="24"/>
          <w:szCs w:val="24"/>
        </w:rPr>
      </w:pPr>
    </w:p>
    <w:p w14:paraId="02939BC1" w14:textId="51587841"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2. Technische Anforderungen</w:t>
      </w:r>
    </w:p>
    <w:p w14:paraId="24D0AD67" w14:textId="77777777" w:rsidR="00E57FCA" w:rsidRDefault="00E57FCA" w:rsidP="00E57FCA">
      <w:pPr>
        <w:spacing w:after="0" w:line="240" w:lineRule="auto"/>
        <w:jc w:val="both"/>
        <w:rPr>
          <w:rFonts w:ascii="Times New Roman" w:hAnsi="Times New Roman" w:cs="Times New Roman"/>
          <w:sz w:val="24"/>
          <w:szCs w:val="24"/>
        </w:rPr>
      </w:pPr>
    </w:p>
    <w:p w14:paraId="73CAECA3" w14:textId="1DA3C42A"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i/>
          <w:sz w:val="24"/>
        </w:rPr>
        <w:t>a)</w:t>
      </w:r>
      <w:r>
        <w:rPr>
          <w:rFonts w:ascii="Times New Roman" w:hAnsi="Times New Roman"/>
          <w:sz w:val="24"/>
        </w:rPr>
        <w:t xml:space="preserve"> Wassergehalt in Prozent der Feuchtmasse: &lt; 10 Prozent, gemessen gemäß der Norm EN 14774-2,</w:t>
      </w:r>
    </w:p>
    <w:p w14:paraId="4C77E40B" w14:textId="77777777" w:rsidR="00E57FCA" w:rsidRDefault="00E57FCA" w:rsidP="00E57FCA">
      <w:pPr>
        <w:spacing w:after="0" w:line="240" w:lineRule="auto"/>
        <w:jc w:val="both"/>
        <w:rPr>
          <w:rFonts w:ascii="Times New Roman" w:hAnsi="Times New Roman" w:cs="Times New Roman"/>
          <w:sz w:val="24"/>
          <w:szCs w:val="24"/>
        </w:rPr>
      </w:pPr>
    </w:p>
    <w:p w14:paraId="4AE52BE4" w14:textId="2E1FF00B"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i/>
          <w:sz w:val="24"/>
        </w:rPr>
        <w:tab/>
        <w:t>b)</w:t>
      </w:r>
      <w:r>
        <w:rPr>
          <w:rFonts w:ascii="Times New Roman" w:hAnsi="Times New Roman"/>
          <w:sz w:val="24"/>
        </w:rPr>
        <w:t xml:space="preserve"> Aschegehalt auf der Grundlage der Trockenmasse: &lt; 1,5 Prozent, gemessen gemäß der Norm EN 14775,</w:t>
      </w:r>
    </w:p>
    <w:p w14:paraId="20C2BE3E" w14:textId="77777777" w:rsidR="00E57FCA" w:rsidRDefault="00E57FCA" w:rsidP="00E57FCA">
      <w:pPr>
        <w:spacing w:after="0" w:line="240" w:lineRule="auto"/>
        <w:jc w:val="both"/>
        <w:rPr>
          <w:rFonts w:ascii="Times New Roman" w:hAnsi="Times New Roman" w:cs="Times New Roman"/>
          <w:sz w:val="24"/>
          <w:szCs w:val="24"/>
        </w:rPr>
      </w:pPr>
    </w:p>
    <w:p w14:paraId="54D1B25A" w14:textId="72380EC8"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i/>
          <w:sz w:val="24"/>
        </w:rPr>
        <w:t>c)</w:t>
      </w:r>
      <w:r>
        <w:rPr>
          <w:rFonts w:ascii="Times New Roman" w:hAnsi="Times New Roman"/>
          <w:sz w:val="24"/>
        </w:rPr>
        <w:t xml:space="preserve"> Heizwert, berechnet auf der Grundlage des Wasser- und Aschegehalts, ≤ 16.3 MJ/kg, gemessen gemäß der Norm EN 14918 und CEN/TS 15234 Anhang E Formel 2,</w:t>
      </w:r>
    </w:p>
    <w:p w14:paraId="5D83FD30" w14:textId="77777777" w:rsidR="00E57FCA" w:rsidRDefault="00E57FCA" w:rsidP="00E57FCA">
      <w:pPr>
        <w:spacing w:after="0" w:line="240" w:lineRule="auto"/>
        <w:jc w:val="both"/>
        <w:rPr>
          <w:rFonts w:ascii="Times New Roman" w:hAnsi="Times New Roman" w:cs="Times New Roman"/>
          <w:sz w:val="24"/>
          <w:szCs w:val="24"/>
        </w:rPr>
      </w:pPr>
    </w:p>
    <w:p w14:paraId="0BB40F73" w14:textId="5AF056BE"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i/>
          <w:sz w:val="24"/>
        </w:rPr>
        <w:t>d)</w:t>
      </w:r>
      <w:r>
        <w:rPr>
          <w:rFonts w:ascii="Times New Roman" w:hAnsi="Times New Roman"/>
          <w:sz w:val="24"/>
        </w:rPr>
        <w:t xml:space="preserve"> Länge (l) *: 3,15 ≤ l ≤ 40 mm, gemessen gemäß der Norm prEN 14961-2 (* 5 Prozent Pellets mit L &gt; 40 mm werden toleriert, L max = 45 mm),</w:t>
      </w:r>
    </w:p>
    <w:p w14:paraId="62168EF7" w14:textId="77777777" w:rsidR="00E57FCA" w:rsidRDefault="00E57FCA" w:rsidP="00E57FCA">
      <w:pPr>
        <w:spacing w:after="0" w:line="240" w:lineRule="auto"/>
        <w:jc w:val="both"/>
        <w:rPr>
          <w:rFonts w:ascii="Times New Roman" w:hAnsi="Times New Roman" w:cs="Times New Roman"/>
          <w:sz w:val="24"/>
          <w:szCs w:val="24"/>
        </w:rPr>
      </w:pPr>
    </w:p>
    <w:p w14:paraId="15C15FB5" w14:textId="1CD0317A"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i/>
          <w:sz w:val="24"/>
        </w:rPr>
        <w:t>e)</w:t>
      </w:r>
      <w:r>
        <w:rPr>
          <w:rFonts w:ascii="Times New Roman" w:hAnsi="Times New Roman"/>
          <w:sz w:val="24"/>
        </w:rPr>
        <w:t xml:space="preserve"> Durchmesser (d): 5 ≤ d ≤ 9 mm, gemessen gemäß der Norm prEN 14961-2,</w:t>
      </w:r>
    </w:p>
    <w:p w14:paraId="47B9DE86" w14:textId="77777777" w:rsidR="00E57FCA" w:rsidRDefault="00E57FCA" w:rsidP="00E57FCA">
      <w:pPr>
        <w:spacing w:after="0" w:line="240" w:lineRule="auto"/>
        <w:jc w:val="both"/>
        <w:rPr>
          <w:rFonts w:ascii="Times New Roman" w:hAnsi="Times New Roman" w:cs="Times New Roman"/>
          <w:sz w:val="24"/>
          <w:szCs w:val="24"/>
        </w:rPr>
      </w:pPr>
    </w:p>
    <w:p w14:paraId="36816DAF" w14:textId="7112CEA0"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i/>
          <w:sz w:val="24"/>
        </w:rPr>
        <w:t>f)</w:t>
      </w:r>
      <w:r>
        <w:rPr>
          <w:rFonts w:ascii="Times New Roman" w:hAnsi="Times New Roman"/>
          <w:sz w:val="24"/>
        </w:rPr>
        <w:t xml:space="preserve"> Feinanteil (Verkaufsstelle): ≤ 2 Prozent, gemessen gemäß der Norm CEN/TS 15149</w:t>
      </w:r>
      <w:r>
        <w:rPr>
          <w:rFonts w:ascii="Times New Roman" w:hAnsi="Times New Roman"/>
          <w:sz w:val="24"/>
        </w:rPr>
        <w:noBreakHyphen/>
        <w:t>2,</w:t>
      </w:r>
    </w:p>
    <w:p w14:paraId="3D36783A" w14:textId="77777777" w:rsidR="00E57FCA" w:rsidRDefault="00E57FCA" w:rsidP="00E57FCA">
      <w:pPr>
        <w:spacing w:after="0" w:line="240" w:lineRule="auto"/>
        <w:jc w:val="both"/>
        <w:rPr>
          <w:rFonts w:ascii="Times New Roman" w:hAnsi="Times New Roman" w:cs="Times New Roman"/>
          <w:sz w:val="24"/>
          <w:szCs w:val="24"/>
        </w:rPr>
      </w:pPr>
    </w:p>
    <w:p w14:paraId="1E599EA1" w14:textId="4CC3A333"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i/>
          <w:sz w:val="24"/>
        </w:rPr>
        <w:t>g)</w:t>
      </w:r>
      <w:r>
        <w:rPr>
          <w:rFonts w:ascii="Times New Roman" w:hAnsi="Times New Roman"/>
          <w:sz w:val="24"/>
        </w:rPr>
        <w:t xml:space="preserve"> entweder mechanische Festigkeit (ab Fabrik): ≥ 97,5 Prozent, gemessen gemäß der Norm EN 15210-1</w:t>
      </w:r>
    </w:p>
    <w:p w14:paraId="3585971E" w14:textId="77777777" w:rsidR="00E57FCA" w:rsidRDefault="00E57FCA" w:rsidP="00E57FCA">
      <w:pPr>
        <w:spacing w:after="0" w:line="240" w:lineRule="auto"/>
        <w:jc w:val="both"/>
        <w:rPr>
          <w:rFonts w:ascii="Times New Roman" w:hAnsi="Times New Roman" w:cs="Times New Roman"/>
          <w:sz w:val="24"/>
          <w:szCs w:val="24"/>
        </w:rPr>
      </w:pPr>
    </w:p>
    <w:p w14:paraId="6F2747F9" w14:textId="61032B0B"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lastRenderedPageBreak/>
        <w:tab/>
        <w:t>oder Abrieb: &lt; 2,3 gemessen gemäß der Norm DIN 51731,</w:t>
      </w:r>
    </w:p>
    <w:p w14:paraId="2B010032" w14:textId="77777777" w:rsidR="00E57FCA" w:rsidRDefault="00E57FCA" w:rsidP="00E57FCA">
      <w:pPr>
        <w:spacing w:after="0" w:line="240" w:lineRule="auto"/>
        <w:jc w:val="both"/>
        <w:rPr>
          <w:rFonts w:ascii="Times New Roman" w:hAnsi="Times New Roman" w:cs="Times New Roman"/>
          <w:sz w:val="24"/>
          <w:szCs w:val="24"/>
        </w:rPr>
      </w:pPr>
    </w:p>
    <w:p w14:paraId="51011238" w14:textId="4D4133AF"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i/>
          <w:sz w:val="24"/>
        </w:rPr>
        <w:t>h)</w:t>
      </w:r>
      <w:r>
        <w:rPr>
          <w:rFonts w:ascii="Times New Roman" w:hAnsi="Times New Roman"/>
          <w:sz w:val="24"/>
        </w:rPr>
        <w:t xml:space="preserve"> Feinanteil (bei der Herstellung): ≤ 1 Prozent, gemessen gemäß der Norm CEN/TS 15149-2,</w:t>
      </w:r>
    </w:p>
    <w:p w14:paraId="4FAD28E3" w14:textId="77777777" w:rsidR="00E57FCA" w:rsidRDefault="00E57FCA" w:rsidP="00E57FCA">
      <w:pPr>
        <w:spacing w:after="0" w:line="240" w:lineRule="auto"/>
        <w:jc w:val="both"/>
        <w:rPr>
          <w:rFonts w:ascii="Times New Roman" w:hAnsi="Times New Roman" w:cs="Times New Roman"/>
          <w:sz w:val="24"/>
          <w:szCs w:val="24"/>
        </w:rPr>
      </w:pPr>
    </w:p>
    <w:p w14:paraId="3124C470" w14:textId="1D09E568"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i/>
          <w:sz w:val="24"/>
        </w:rPr>
        <w:t>i)</w:t>
      </w:r>
      <w:r>
        <w:rPr>
          <w:rFonts w:ascii="Times New Roman" w:hAnsi="Times New Roman"/>
          <w:sz w:val="24"/>
        </w:rPr>
        <w:t xml:space="preserve"> Schüttdichte: ≥ 600 kg/m</w:t>
      </w:r>
      <w:r>
        <w:rPr>
          <w:rFonts w:ascii="Times New Roman" w:hAnsi="Times New Roman"/>
          <w:sz w:val="24"/>
          <w:vertAlign w:val="superscript"/>
        </w:rPr>
        <w:t>3</w:t>
      </w:r>
      <w:r>
        <w:rPr>
          <w:rFonts w:ascii="Times New Roman" w:hAnsi="Times New Roman"/>
          <w:sz w:val="24"/>
        </w:rPr>
        <w:t>, gemessen gemäß der Norm CEN/TS 15103,</w:t>
      </w:r>
    </w:p>
    <w:p w14:paraId="52A2D5A7" w14:textId="77777777" w:rsidR="00E57FCA" w:rsidRDefault="00E57FCA" w:rsidP="00E57FCA">
      <w:pPr>
        <w:spacing w:after="0" w:line="240" w:lineRule="auto"/>
        <w:jc w:val="both"/>
        <w:rPr>
          <w:rFonts w:ascii="Times New Roman" w:hAnsi="Times New Roman" w:cs="Times New Roman"/>
          <w:sz w:val="24"/>
          <w:szCs w:val="24"/>
        </w:rPr>
      </w:pPr>
    </w:p>
    <w:p w14:paraId="6A90CB36" w14:textId="1F02F0E4"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i/>
          <w:sz w:val="24"/>
        </w:rPr>
        <w:t>j)</w:t>
      </w:r>
      <w:r>
        <w:rPr>
          <w:rFonts w:ascii="Times New Roman" w:hAnsi="Times New Roman"/>
          <w:sz w:val="24"/>
        </w:rPr>
        <w:t xml:space="preserve"> Bindemittel (muss vom Hersteller angegeben werden): &lt; 2 Prozent, gemessen gemäß der Norm prEN 14961-2,</w:t>
      </w:r>
    </w:p>
    <w:p w14:paraId="4BFD89BF" w14:textId="77777777" w:rsidR="00E57FCA" w:rsidRDefault="00E57FCA" w:rsidP="00E57FCA">
      <w:pPr>
        <w:spacing w:after="0" w:line="240" w:lineRule="auto"/>
        <w:jc w:val="both"/>
        <w:rPr>
          <w:rFonts w:ascii="Times New Roman" w:hAnsi="Times New Roman" w:cs="Times New Roman"/>
          <w:sz w:val="24"/>
          <w:szCs w:val="24"/>
        </w:rPr>
      </w:pPr>
    </w:p>
    <w:p w14:paraId="4FD0BE3E" w14:textId="050A5294"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i/>
          <w:sz w:val="24"/>
        </w:rPr>
        <w:tab/>
        <w:t>k)</w:t>
      </w:r>
      <w:r>
        <w:rPr>
          <w:rFonts w:ascii="Times New Roman" w:hAnsi="Times New Roman"/>
          <w:sz w:val="24"/>
        </w:rPr>
        <w:t xml:space="preserve"> Schwefelgehalt (S) auf der Grundlage der Trockenmasse: ≤ 0,03 Prozent, gemessen gemäß der Norm CEN/TS 15289,</w:t>
      </w:r>
    </w:p>
    <w:p w14:paraId="3A0575CB" w14:textId="77777777" w:rsidR="00E57FCA" w:rsidRDefault="00E57FCA" w:rsidP="00E57FCA">
      <w:pPr>
        <w:spacing w:after="0" w:line="240" w:lineRule="auto"/>
        <w:jc w:val="both"/>
        <w:rPr>
          <w:rFonts w:ascii="Times New Roman" w:hAnsi="Times New Roman" w:cs="Times New Roman"/>
          <w:sz w:val="24"/>
          <w:szCs w:val="24"/>
        </w:rPr>
      </w:pPr>
    </w:p>
    <w:p w14:paraId="161F3262" w14:textId="68899BA3"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i/>
          <w:sz w:val="24"/>
        </w:rPr>
        <w:t>l)</w:t>
      </w:r>
      <w:r>
        <w:rPr>
          <w:rFonts w:ascii="Times New Roman" w:hAnsi="Times New Roman"/>
          <w:sz w:val="24"/>
        </w:rPr>
        <w:t xml:space="preserve"> Stickstoffgehalt (N): ≤ 0,5 Prozent, gemessen gemäß der Norm CEN/TS 15289,</w:t>
      </w:r>
    </w:p>
    <w:p w14:paraId="3A3E11E7" w14:textId="77777777" w:rsidR="00E57FCA" w:rsidRDefault="00E57FCA" w:rsidP="00E57FCA">
      <w:pPr>
        <w:spacing w:after="0" w:line="240" w:lineRule="auto"/>
        <w:jc w:val="both"/>
        <w:rPr>
          <w:rFonts w:ascii="Times New Roman" w:hAnsi="Times New Roman" w:cs="Times New Roman"/>
          <w:sz w:val="24"/>
          <w:szCs w:val="24"/>
        </w:rPr>
      </w:pPr>
    </w:p>
    <w:p w14:paraId="45DC959E" w14:textId="551B3507"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i/>
          <w:sz w:val="24"/>
        </w:rPr>
        <w:t>m)</w:t>
      </w:r>
      <w:r>
        <w:rPr>
          <w:rFonts w:ascii="Times New Roman" w:hAnsi="Times New Roman"/>
          <w:sz w:val="24"/>
        </w:rPr>
        <w:t xml:space="preserve"> Chlorgehalt (Cl): ≤ 0,02 Prozent, gemessen gemäß der Norm EN 15103,</w:t>
      </w:r>
    </w:p>
    <w:p w14:paraId="0E31413F" w14:textId="77777777" w:rsidR="00E57FCA" w:rsidRDefault="00E57FCA" w:rsidP="00E57FCA">
      <w:pPr>
        <w:spacing w:after="0" w:line="240" w:lineRule="auto"/>
        <w:jc w:val="both"/>
        <w:rPr>
          <w:rFonts w:ascii="Times New Roman" w:hAnsi="Times New Roman" w:cs="Times New Roman"/>
          <w:sz w:val="24"/>
          <w:szCs w:val="24"/>
        </w:rPr>
      </w:pPr>
    </w:p>
    <w:p w14:paraId="3A64BB32" w14:textId="72E681FB"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i/>
          <w:sz w:val="24"/>
        </w:rPr>
        <w:t>n)</w:t>
      </w:r>
      <w:r>
        <w:rPr>
          <w:rFonts w:ascii="Times New Roman" w:hAnsi="Times New Roman"/>
          <w:sz w:val="24"/>
        </w:rPr>
        <w:t xml:space="preserve"> Arsen (As): ≤ 1,0 mg/kg, gemessen gemäß der Norm prEN 15297,</w:t>
      </w:r>
    </w:p>
    <w:p w14:paraId="157E96A0" w14:textId="77777777" w:rsidR="00E57FCA" w:rsidRDefault="00E57FCA" w:rsidP="00E57FCA">
      <w:pPr>
        <w:spacing w:after="0" w:line="240" w:lineRule="auto"/>
        <w:jc w:val="both"/>
        <w:rPr>
          <w:rFonts w:ascii="Times New Roman" w:hAnsi="Times New Roman" w:cs="Times New Roman"/>
          <w:sz w:val="24"/>
          <w:szCs w:val="24"/>
        </w:rPr>
      </w:pPr>
    </w:p>
    <w:p w14:paraId="456E3D1D" w14:textId="212AAF21"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i/>
          <w:sz w:val="24"/>
        </w:rPr>
        <w:t>o)</w:t>
      </w:r>
      <w:r>
        <w:rPr>
          <w:rFonts w:ascii="Times New Roman" w:hAnsi="Times New Roman"/>
          <w:sz w:val="24"/>
        </w:rPr>
        <w:t xml:space="preserve"> Cadmium (Cd): ≤ 0,5 mg/kg, gemessen gemäß der Norm prEN 15297,</w:t>
      </w:r>
    </w:p>
    <w:p w14:paraId="432AF716" w14:textId="77777777" w:rsidR="00E57FCA" w:rsidRDefault="00E57FCA" w:rsidP="00E57FCA">
      <w:pPr>
        <w:spacing w:after="0" w:line="240" w:lineRule="auto"/>
        <w:jc w:val="both"/>
        <w:rPr>
          <w:rFonts w:ascii="Times New Roman" w:hAnsi="Times New Roman" w:cs="Times New Roman"/>
          <w:sz w:val="24"/>
          <w:szCs w:val="24"/>
        </w:rPr>
      </w:pPr>
    </w:p>
    <w:p w14:paraId="312B541B" w14:textId="2E2C19DC"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i/>
          <w:sz w:val="24"/>
        </w:rPr>
        <w:t>p)</w:t>
      </w:r>
      <w:r>
        <w:rPr>
          <w:rFonts w:ascii="Times New Roman" w:hAnsi="Times New Roman"/>
          <w:sz w:val="24"/>
        </w:rPr>
        <w:t xml:space="preserve"> Chrom (Cr): ≤ 10 mg/kg, gemessen gemäß der Norm prEN 15297,</w:t>
      </w:r>
    </w:p>
    <w:p w14:paraId="00483E56" w14:textId="77777777" w:rsidR="00E57FCA" w:rsidRDefault="00E57FCA" w:rsidP="00E57FCA">
      <w:pPr>
        <w:spacing w:after="0" w:line="240" w:lineRule="auto"/>
        <w:jc w:val="both"/>
        <w:rPr>
          <w:rFonts w:ascii="Times New Roman" w:hAnsi="Times New Roman" w:cs="Times New Roman"/>
          <w:sz w:val="24"/>
          <w:szCs w:val="24"/>
        </w:rPr>
      </w:pPr>
    </w:p>
    <w:p w14:paraId="66467017" w14:textId="3CC465B4"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i/>
          <w:sz w:val="24"/>
        </w:rPr>
        <w:t>q)</w:t>
      </w:r>
      <w:r>
        <w:rPr>
          <w:rFonts w:ascii="Times New Roman" w:hAnsi="Times New Roman"/>
          <w:sz w:val="24"/>
        </w:rPr>
        <w:t xml:space="preserve"> Kupfer (Cu): ≤ 10 mg/kg, gemessen gemäß der Norm prEN 15297,</w:t>
      </w:r>
    </w:p>
    <w:p w14:paraId="50400287" w14:textId="77777777" w:rsidR="00E57FCA" w:rsidRDefault="00E57FCA" w:rsidP="00E57FCA">
      <w:pPr>
        <w:spacing w:after="0" w:line="240" w:lineRule="auto"/>
        <w:jc w:val="both"/>
        <w:rPr>
          <w:rFonts w:ascii="Times New Roman" w:hAnsi="Times New Roman" w:cs="Times New Roman"/>
          <w:sz w:val="24"/>
          <w:szCs w:val="24"/>
        </w:rPr>
      </w:pPr>
    </w:p>
    <w:p w14:paraId="37470BDB" w14:textId="715320B9"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i/>
          <w:sz w:val="24"/>
        </w:rPr>
        <w:t>r)</w:t>
      </w:r>
      <w:r>
        <w:rPr>
          <w:rFonts w:ascii="Times New Roman" w:hAnsi="Times New Roman"/>
          <w:sz w:val="24"/>
        </w:rPr>
        <w:t xml:space="preserve"> Blei (Pb): ≤ 10 mg/kg, gemessen gemäß der Norm prEN 15297,</w:t>
      </w:r>
    </w:p>
    <w:p w14:paraId="71D7DAA9" w14:textId="77777777" w:rsidR="00E57FCA" w:rsidRDefault="00E57FCA" w:rsidP="00E57FCA">
      <w:pPr>
        <w:spacing w:after="0" w:line="240" w:lineRule="auto"/>
        <w:jc w:val="both"/>
        <w:rPr>
          <w:rFonts w:ascii="Times New Roman" w:hAnsi="Times New Roman" w:cs="Times New Roman"/>
          <w:sz w:val="24"/>
          <w:szCs w:val="24"/>
        </w:rPr>
      </w:pPr>
    </w:p>
    <w:p w14:paraId="3B9EA0CF" w14:textId="3D3C2327"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i/>
          <w:sz w:val="24"/>
        </w:rPr>
        <w:t>s)</w:t>
      </w:r>
      <w:r>
        <w:rPr>
          <w:rFonts w:ascii="Times New Roman" w:hAnsi="Times New Roman"/>
          <w:sz w:val="24"/>
        </w:rPr>
        <w:t xml:space="preserve"> Quecksilber (Hg): ≤ 0,1 mg/kg, gemessen gemäß der Norm prEN 15297,</w:t>
      </w:r>
    </w:p>
    <w:p w14:paraId="154CF1C7" w14:textId="76BDC61F" w:rsidR="00E57FCA" w:rsidRDefault="00E57FCA" w:rsidP="00E57FCA">
      <w:pPr>
        <w:spacing w:after="0" w:line="240" w:lineRule="auto"/>
        <w:jc w:val="both"/>
        <w:rPr>
          <w:rFonts w:ascii="Times New Roman" w:hAnsi="Times New Roman" w:cs="Times New Roman"/>
          <w:sz w:val="24"/>
          <w:szCs w:val="24"/>
        </w:rPr>
      </w:pPr>
    </w:p>
    <w:p w14:paraId="4F8BED48" w14:textId="4AC8CC23"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i/>
          <w:sz w:val="24"/>
        </w:rPr>
        <w:t>t)</w:t>
      </w:r>
      <w:r>
        <w:rPr>
          <w:rFonts w:ascii="Times New Roman" w:hAnsi="Times New Roman"/>
          <w:sz w:val="24"/>
        </w:rPr>
        <w:t xml:space="preserve"> Nickel (Ni): ≤ 10 mg/kg, gemessen gemäß der Norm prEN 15297,</w:t>
      </w:r>
    </w:p>
    <w:p w14:paraId="2A0DE1C7" w14:textId="77777777" w:rsidR="00E57FCA" w:rsidRDefault="00E57FCA" w:rsidP="00E57FCA">
      <w:pPr>
        <w:spacing w:after="0" w:line="240" w:lineRule="auto"/>
        <w:jc w:val="both"/>
        <w:rPr>
          <w:rFonts w:ascii="Times New Roman" w:hAnsi="Times New Roman" w:cs="Times New Roman"/>
          <w:sz w:val="24"/>
          <w:szCs w:val="24"/>
        </w:rPr>
      </w:pPr>
    </w:p>
    <w:p w14:paraId="461AB2F4" w14:textId="498928C4" w:rsidR="00E57FCA" w:rsidRPr="001D013D" w:rsidRDefault="00E57FCA" w:rsidP="00E57FCA">
      <w:pPr>
        <w:spacing w:after="0" w:line="240" w:lineRule="auto"/>
        <w:jc w:val="both"/>
        <w:rPr>
          <w:rFonts w:ascii="Times New Roman" w:hAnsi="Times New Roman" w:cs="Times New Roman"/>
          <w:sz w:val="24"/>
          <w:szCs w:val="24"/>
          <w:lang w:val="nl-NL"/>
        </w:rPr>
      </w:pPr>
      <w:r>
        <w:rPr>
          <w:rFonts w:ascii="Times New Roman" w:hAnsi="Times New Roman"/>
          <w:sz w:val="24"/>
        </w:rPr>
        <w:tab/>
      </w:r>
      <w:r w:rsidRPr="001D013D">
        <w:rPr>
          <w:rFonts w:ascii="Times New Roman" w:hAnsi="Times New Roman"/>
          <w:i/>
          <w:sz w:val="24"/>
          <w:lang w:val="nl-NL"/>
        </w:rPr>
        <w:t>u)</w:t>
      </w:r>
      <w:r w:rsidRPr="001D013D">
        <w:rPr>
          <w:rFonts w:ascii="Times New Roman" w:hAnsi="Times New Roman"/>
          <w:sz w:val="24"/>
          <w:lang w:val="nl-NL"/>
        </w:rPr>
        <w:t xml:space="preserve"> Zink (Zn): ≤ 100 mg/kg, gemessen gemäß der Norm prEN 15297.</w:t>
      </w:r>
    </w:p>
    <w:p w14:paraId="35E5876B" w14:textId="77777777" w:rsidR="00E57FCA" w:rsidRPr="001D013D" w:rsidRDefault="00E57FCA" w:rsidP="00E57FCA">
      <w:pPr>
        <w:spacing w:after="0" w:line="240" w:lineRule="auto"/>
        <w:jc w:val="both"/>
        <w:rPr>
          <w:rFonts w:ascii="Times New Roman" w:hAnsi="Times New Roman" w:cs="Times New Roman"/>
          <w:sz w:val="24"/>
          <w:szCs w:val="24"/>
          <w:lang w:val="nl-NL"/>
        </w:rPr>
      </w:pPr>
    </w:p>
    <w:p w14:paraId="095025A4" w14:textId="183B5055" w:rsidR="00E57FCA" w:rsidRPr="00E57FCA" w:rsidRDefault="00E57FCA" w:rsidP="00E57FCA">
      <w:pPr>
        <w:spacing w:after="0" w:line="240" w:lineRule="auto"/>
        <w:jc w:val="both"/>
        <w:rPr>
          <w:rFonts w:ascii="Times New Roman" w:hAnsi="Times New Roman" w:cs="Times New Roman"/>
          <w:sz w:val="24"/>
          <w:szCs w:val="24"/>
        </w:rPr>
      </w:pPr>
      <w:r w:rsidRPr="001D013D">
        <w:rPr>
          <w:rFonts w:ascii="Times New Roman" w:hAnsi="Times New Roman"/>
          <w:sz w:val="24"/>
          <w:lang w:val="nl-NL"/>
        </w:rPr>
        <w:tab/>
      </w:r>
      <w:r>
        <w:rPr>
          <w:rFonts w:ascii="Times New Roman" w:hAnsi="Times New Roman"/>
          <w:sz w:val="24"/>
        </w:rPr>
        <w:t>§ 2 ­ Die Messungen und Prüfverfahren für Holzpellets müssen gemäß den in Anlage 1 erwähnten Normen durchgeführt werden.</w:t>
      </w:r>
    </w:p>
    <w:p w14:paraId="18A343B0" w14:textId="77777777" w:rsidR="00E57FCA" w:rsidRDefault="00E57FCA" w:rsidP="00E57FCA">
      <w:pPr>
        <w:spacing w:after="0" w:line="240" w:lineRule="auto"/>
        <w:jc w:val="both"/>
        <w:rPr>
          <w:rFonts w:ascii="Times New Roman" w:hAnsi="Times New Roman" w:cs="Times New Roman"/>
          <w:sz w:val="24"/>
          <w:szCs w:val="24"/>
        </w:rPr>
      </w:pPr>
    </w:p>
    <w:p w14:paraId="26C3A845" w14:textId="77777777" w:rsidR="00E57FCA" w:rsidRDefault="00E57FCA" w:rsidP="00E57FCA">
      <w:pPr>
        <w:spacing w:after="0" w:line="240" w:lineRule="auto"/>
        <w:jc w:val="both"/>
        <w:rPr>
          <w:rFonts w:ascii="Times New Roman" w:hAnsi="Times New Roman" w:cs="Times New Roman"/>
          <w:sz w:val="24"/>
          <w:szCs w:val="24"/>
        </w:rPr>
      </w:pPr>
    </w:p>
    <w:p w14:paraId="62C0C6BD" w14:textId="120718ED" w:rsidR="00E57FCA" w:rsidRPr="00E57FCA" w:rsidRDefault="00E57FCA" w:rsidP="00E57FCA">
      <w:pPr>
        <w:spacing w:after="0" w:line="240" w:lineRule="auto"/>
        <w:jc w:val="center"/>
        <w:rPr>
          <w:rFonts w:ascii="Times New Roman" w:hAnsi="Times New Roman" w:cs="Times New Roman"/>
          <w:sz w:val="24"/>
          <w:szCs w:val="24"/>
        </w:rPr>
      </w:pPr>
      <w:r>
        <w:rPr>
          <w:rFonts w:ascii="Times New Roman" w:hAnsi="Times New Roman"/>
          <w:sz w:val="24"/>
        </w:rPr>
        <w:t>Marktüberwachung</w:t>
      </w:r>
    </w:p>
    <w:p w14:paraId="1895296A" w14:textId="77777777" w:rsidR="00E57FCA" w:rsidRDefault="00E57FCA" w:rsidP="00E57FCA">
      <w:pPr>
        <w:spacing w:after="0" w:line="240" w:lineRule="auto"/>
        <w:jc w:val="both"/>
        <w:rPr>
          <w:rFonts w:ascii="Times New Roman" w:hAnsi="Times New Roman" w:cs="Times New Roman"/>
          <w:sz w:val="24"/>
          <w:szCs w:val="24"/>
        </w:rPr>
      </w:pPr>
    </w:p>
    <w:p w14:paraId="731469CD" w14:textId="77777777" w:rsidR="00E57FCA" w:rsidRPr="00E57FCA" w:rsidRDefault="00E57FCA" w:rsidP="00E57FCA">
      <w:pPr>
        <w:spacing w:after="0" w:line="240" w:lineRule="auto"/>
        <w:jc w:val="both"/>
        <w:rPr>
          <w:rFonts w:ascii="Times New Roman" w:hAnsi="Times New Roman" w:cs="Times New Roman"/>
          <w:sz w:val="24"/>
          <w:szCs w:val="24"/>
        </w:rPr>
      </w:pPr>
    </w:p>
    <w:p w14:paraId="2D627870" w14:textId="30AAB57B"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b/>
          <w:sz w:val="24"/>
        </w:rPr>
        <w:tab/>
        <w:t>Art. 6 -</w:t>
      </w:r>
      <w:r>
        <w:rPr>
          <w:rFonts w:ascii="Times New Roman" w:hAnsi="Times New Roman"/>
          <w:sz w:val="24"/>
        </w:rPr>
        <w:t xml:space="preserve"> § 1 ­ Die zugelassenen Labore melden sich bei dem für Umwelt zuständigen Minister.</w:t>
      </w:r>
    </w:p>
    <w:p w14:paraId="10B4BE0A" w14:textId="77777777" w:rsidR="00E57FCA" w:rsidRDefault="00E57FCA" w:rsidP="00E57FCA">
      <w:pPr>
        <w:spacing w:after="0" w:line="240" w:lineRule="auto"/>
        <w:jc w:val="both"/>
        <w:rPr>
          <w:rFonts w:ascii="Times New Roman" w:hAnsi="Times New Roman" w:cs="Times New Roman"/>
          <w:sz w:val="24"/>
          <w:szCs w:val="24"/>
        </w:rPr>
      </w:pPr>
    </w:p>
    <w:p w14:paraId="35B32B9E" w14:textId="0C497630"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 2 ­ Labore, die bereits im Rahmen von Zertifizierungen wie zum Beispiel DIN+, ÖNORM oder anderen zugelassen sind, werden von BELAC anerkannt.</w:t>
      </w:r>
    </w:p>
    <w:p w14:paraId="359D1874" w14:textId="77777777" w:rsidR="00E57FCA" w:rsidRPr="00E57FCA" w:rsidRDefault="00E57FCA" w:rsidP="00E57FCA">
      <w:pPr>
        <w:spacing w:after="0" w:line="240" w:lineRule="auto"/>
        <w:jc w:val="both"/>
        <w:rPr>
          <w:rFonts w:ascii="Times New Roman" w:hAnsi="Times New Roman" w:cs="Times New Roman"/>
          <w:sz w:val="24"/>
          <w:szCs w:val="24"/>
        </w:rPr>
      </w:pPr>
    </w:p>
    <w:p w14:paraId="6A517A93" w14:textId="77777777" w:rsidR="00E57FCA" w:rsidRDefault="00E57FCA" w:rsidP="00E57FCA">
      <w:pPr>
        <w:spacing w:after="0" w:line="240" w:lineRule="auto"/>
        <w:jc w:val="both"/>
        <w:rPr>
          <w:rFonts w:ascii="Times New Roman" w:hAnsi="Times New Roman" w:cs="Times New Roman"/>
          <w:sz w:val="24"/>
          <w:szCs w:val="24"/>
        </w:rPr>
      </w:pPr>
    </w:p>
    <w:p w14:paraId="66BFDBA0" w14:textId="086FECB3"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b/>
          <w:sz w:val="24"/>
        </w:rPr>
        <w:tab/>
        <w:t>Art. 7 -</w:t>
      </w:r>
      <w:r>
        <w:rPr>
          <w:rFonts w:ascii="Times New Roman" w:hAnsi="Times New Roman"/>
          <w:sz w:val="24"/>
        </w:rPr>
        <w:t xml:space="preserve"> § 1 ­ Der zuständige Dienst führt Kontrollen der Herstellung an den Herstellungsorten und der Verkaufsstellen durch.</w:t>
      </w:r>
    </w:p>
    <w:p w14:paraId="4F4C6396" w14:textId="77777777" w:rsidR="00E57FCA" w:rsidRDefault="00E57FCA" w:rsidP="00E57FCA">
      <w:pPr>
        <w:spacing w:after="0" w:line="240" w:lineRule="auto"/>
        <w:jc w:val="both"/>
        <w:rPr>
          <w:rFonts w:ascii="Times New Roman" w:hAnsi="Times New Roman" w:cs="Times New Roman"/>
          <w:sz w:val="24"/>
          <w:szCs w:val="24"/>
        </w:rPr>
      </w:pPr>
    </w:p>
    <w:p w14:paraId="69597FE2" w14:textId="7FC765AB"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lastRenderedPageBreak/>
        <w:tab/>
        <w:t>§ 2 ­ Um die Konformität von Holzpellets zu gewährleisten, müssen Prüfungen und Messungen von einem zugelassenen Labor durchgeführt werden.</w:t>
      </w:r>
    </w:p>
    <w:p w14:paraId="6B506555" w14:textId="77777777" w:rsidR="00E57FCA" w:rsidRDefault="00E57FCA" w:rsidP="00E57FCA">
      <w:pPr>
        <w:spacing w:after="0" w:line="240" w:lineRule="auto"/>
        <w:jc w:val="both"/>
        <w:rPr>
          <w:rFonts w:ascii="Times New Roman" w:hAnsi="Times New Roman" w:cs="Times New Roman"/>
          <w:sz w:val="24"/>
          <w:szCs w:val="24"/>
        </w:rPr>
      </w:pPr>
    </w:p>
    <w:p w14:paraId="298BFD7C" w14:textId="22281972"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 3 ­ Im Fall der Kontrolle der Herstellung an den Herstellungsorten führt der zuständige Dienst mindestens einmal im Jahr eine unangekündigte Kontrolle durch. Die in Artikel 5 aufgeführten Parameter müssen gemäß den vorgesehenen Normen und von einem zugelassenen Labor analysiert werden.</w:t>
      </w:r>
    </w:p>
    <w:p w14:paraId="72499F52" w14:textId="77777777" w:rsidR="00E57FCA" w:rsidRDefault="00E57FCA" w:rsidP="00E57FCA">
      <w:pPr>
        <w:spacing w:after="0" w:line="240" w:lineRule="auto"/>
        <w:jc w:val="both"/>
        <w:rPr>
          <w:rFonts w:ascii="Times New Roman" w:hAnsi="Times New Roman" w:cs="Times New Roman"/>
          <w:sz w:val="24"/>
          <w:szCs w:val="24"/>
        </w:rPr>
      </w:pPr>
    </w:p>
    <w:p w14:paraId="7A88459A" w14:textId="0D71F58B"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Das Probenahmeverfahren erfolgt gemäß den in den Normen NBN CEN/TS 14778 und 14779 vorgesehenen Methoden.</w:t>
      </w:r>
    </w:p>
    <w:p w14:paraId="585C6A0C" w14:textId="77777777" w:rsidR="00E57FCA" w:rsidRDefault="00E57FCA" w:rsidP="00E57FCA">
      <w:pPr>
        <w:spacing w:after="0" w:line="240" w:lineRule="auto"/>
        <w:jc w:val="both"/>
        <w:rPr>
          <w:rFonts w:ascii="Times New Roman" w:hAnsi="Times New Roman" w:cs="Times New Roman"/>
          <w:sz w:val="24"/>
          <w:szCs w:val="24"/>
        </w:rPr>
      </w:pPr>
    </w:p>
    <w:p w14:paraId="58E310B1" w14:textId="6C5D450B"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Die Portionierung von Holzpellets und deren Abfüllung in Säcke werden als Herstellungstätigkeiten angesehen.</w:t>
      </w:r>
    </w:p>
    <w:p w14:paraId="6198F449" w14:textId="77777777" w:rsidR="00E57FCA" w:rsidRDefault="00E57FCA" w:rsidP="00E57FCA">
      <w:pPr>
        <w:spacing w:after="0" w:line="240" w:lineRule="auto"/>
        <w:jc w:val="both"/>
        <w:rPr>
          <w:rFonts w:ascii="Times New Roman" w:hAnsi="Times New Roman" w:cs="Times New Roman"/>
          <w:sz w:val="24"/>
          <w:szCs w:val="24"/>
        </w:rPr>
      </w:pPr>
    </w:p>
    <w:p w14:paraId="1A0437EF" w14:textId="6C7588E3"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 4 ­ Im Fall der Überwachung der Verkaufsstellen kontrolliert der zuständige Dienst die Holzpelletsäcke mindestens einmal im Jahr. Zum Zweck der in § 2 erwähnten Prüfungen und Messungen müssen dem zuständigen Dienst drei stichprobenweise entnommene Holzpelletproben von je 15 kg kostenlos zur Verfügung gestellt werden.</w:t>
      </w:r>
    </w:p>
    <w:p w14:paraId="413CDD1B" w14:textId="77777777" w:rsidR="00E57FCA" w:rsidRDefault="00E57FCA" w:rsidP="00E57FCA">
      <w:pPr>
        <w:spacing w:after="0" w:line="240" w:lineRule="auto"/>
        <w:jc w:val="both"/>
        <w:rPr>
          <w:rFonts w:ascii="Times New Roman" w:hAnsi="Times New Roman" w:cs="Times New Roman"/>
          <w:sz w:val="24"/>
          <w:szCs w:val="24"/>
        </w:rPr>
      </w:pPr>
    </w:p>
    <w:p w14:paraId="2EE2994D" w14:textId="56FB3C22"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Der zuständige Dienst versiegelt die drei Proben. Die zweite und die dritte Probe werden vom Verteiler in der Verkaufsstelle aufbewahrt.</w:t>
      </w:r>
    </w:p>
    <w:p w14:paraId="14047C84" w14:textId="77777777" w:rsidR="00E57FCA" w:rsidRDefault="00E57FCA" w:rsidP="00E57FCA">
      <w:pPr>
        <w:spacing w:after="0" w:line="240" w:lineRule="auto"/>
        <w:jc w:val="both"/>
        <w:rPr>
          <w:rFonts w:ascii="Times New Roman" w:hAnsi="Times New Roman" w:cs="Times New Roman"/>
          <w:sz w:val="24"/>
          <w:szCs w:val="24"/>
        </w:rPr>
      </w:pPr>
    </w:p>
    <w:p w14:paraId="461FF1C5" w14:textId="0B2981BD"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Bei Gegenexpertisen werden die zweite und die dritte Probe geprüft. In diesem Fall gehen alle Kosten zu Lasten des Verteilers.</w:t>
      </w:r>
    </w:p>
    <w:p w14:paraId="6FB93175" w14:textId="77777777" w:rsidR="00E57FCA" w:rsidRDefault="00E57FCA" w:rsidP="00E57FCA">
      <w:pPr>
        <w:spacing w:after="0" w:line="240" w:lineRule="auto"/>
        <w:jc w:val="both"/>
        <w:rPr>
          <w:rFonts w:ascii="Times New Roman" w:hAnsi="Times New Roman" w:cs="Times New Roman"/>
          <w:sz w:val="24"/>
          <w:szCs w:val="24"/>
        </w:rPr>
      </w:pPr>
    </w:p>
    <w:p w14:paraId="528AE164" w14:textId="2181A504"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 5 ­ Das zugelassene Labor übermittelt dem zuständigen Dienst den Analysebericht.</w:t>
      </w:r>
    </w:p>
    <w:p w14:paraId="1D2BB25C" w14:textId="77777777" w:rsidR="00E57FCA" w:rsidRDefault="00E57FCA" w:rsidP="00E57FCA">
      <w:pPr>
        <w:spacing w:after="0" w:line="240" w:lineRule="auto"/>
        <w:jc w:val="both"/>
        <w:rPr>
          <w:rFonts w:ascii="Times New Roman" w:hAnsi="Times New Roman" w:cs="Times New Roman"/>
          <w:sz w:val="24"/>
          <w:szCs w:val="24"/>
        </w:rPr>
      </w:pPr>
    </w:p>
    <w:p w14:paraId="34F59677" w14:textId="3D86BC5E"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 6 ­ Im Fall einer Nichtkonformität mit Artikel 3 § 1 ist der zuständige Dienst damit beauftragt, die betreffenden Holzpellets aus dem Handel nehmen zu lassen.</w:t>
      </w:r>
    </w:p>
    <w:p w14:paraId="3B54AE10" w14:textId="77777777" w:rsidR="00E57FCA" w:rsidRDefault="00E57FCA" w:rsidP="00E57FCA">
      <w:pPr>
        <w:spacing w:after="0" w:line="240" w:lineRule="auto"/>
        <w:jc w:val="both"/>
        <w:rPr>
          <w:rFonts w:ascii="Times New Roman" w:hAnsi="Times New Roman" w:cs="Times New Roman"/>
          <w:sz w:val="24"/>
          <w:szCs w:val="24"/>
        </w:rPr>
      </w:pPr>
    </w:p>
    <w:p w14:paraId="4C9A249A" w14:textId="3AA65F66"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Die betreffenden Holzpellets werden auf der Grundlage ihres Herstellungsdatums identifiziert.</w:t>
      </w:r>
    </w:p>
    <w:p w14:paraId="7B56B071" w14:textId="77777777" w:rsidR="00E57FCA" w:rsidRDefault="00E57FCA" w:rsidP="00E57FCA">
      <w:pPr>
        <w:spacing w:after="0" w:line="240" w:lineRule="auto"/>
        <w:jc w:val="both"/>
        <w:rPr>
          <w:rFonts w:ascii="Times New Roman" w:hAnsi="Times New Roman" w:cs="Times New Roman"/>
          <w:sz w:val="24"/>
          <w:szCs w:val="24"/>
        </w:rPr>
      </w:pPr>
    </w:p>
    <w:p w14:paraId="0E5C534C" w14:textId="77777777" w:rsidR="00E57FCA" w:rsidRDefault="00E57FCA" w:rsidP="00E57FCA">
      <w:pPr>
        <w:spacing w:after="0" w:line="240" w:lineRule="auto"/>
        <w:jc w:val="both"/>
        <w:rPr>
          <w:rFonts w:ascii="Times New Roman" w:hAnsi="Times New Roman" w:cs="Times New Roman"/>
          <w:sz w:val="24"/>
          <w:szCs w:val="24"/>
        </w:rPr>
      </w:pPr>
    </w:p>
    <w:p w14:paraId="507B0BD3" w14:textId="47BBE566" w:rsidR="00E57FCA" w:rsidRPr="00E57FCA" w:rsidRDefault="00E57FCA" w:rsidP="00E57FCA">
      <w:pPr>
        <w:spacing w:after="0" w:line="240" w:lineRule="auto"/>
        <w:jc w:val="center"/>
        <w:rPr>
          <w:rFonts w:ascii="Times New Roman" w:hAnsi="Times New Roman" w:cs="Times New Roman"/>
          <w:sz w:val="24"/>
          <w:szCs w:val="24"/>
        </w:rPr>
      </w:pPr>
      <w:r>
        <w:rPr>
          <w:rFonts w:ascii="Times New Roman" w:hAnsi="Times New Roman"/>
          <w:sz w:val="24"/>
        </w:rPr>
        <w:t>Schlussbestimmungen</w:t>
      </w:r>
    </w:p>
    <w:p w14:paraId="1B817C5D" w14:textId="77777777" w:rsidR="00E57FCA" w:rsidRDefault="00E57FCA" w:rsidP="00E57FCA">
      <w:pPr>
        <w:spacing w:after="0" w:line="240" w:lineRule="auto"/>
        <w:jc w:val="both"/>
        <w:rPr>
          <w:rFonts w:ascii="Times New Roman" w:hAnsi="Times New Roman" w:cs="Times New Roman"/>
          <w:sz w:val="24"/>
          <w:szCs w:val="24"/>
        </w:rPr>
      </w:pPr>
    </w:p>
    <w:p w14:paraId="64EA2D8C" w14:textId="77777777" w:rsidR="00E57FCA" w:rsidRPr="00E57FCA" w:rsidRDefault="00E57FCA" w:rsidP="00E57FCA">
      <w:pPr>
        <w:spacing w:after="0" w:line="240" w:lineRule="auto"/>
        <w:jc w:val="both"/>
        <w:rPr>
          <w:rFonts w:ascii="Times New Roman" w:hAnsi="Times New Roman" w:cs="Times New Roman"/>
          <w:sz w:val="24"/>
          <w:szCs w:val="24"/>
        </w:rPr>
      </w:pPr>
    </w:p>
    <w:p w14:paraId="518CC60A" w14:textId="4C6952CE"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b/>
          <w:sz w:val="24"/>
        </w:rPr>
        <w:tab/>
        <w:t>Art. 8 ­</w:t>
      </w:r>
      <w:r>
        <w:rPr>
          <w:rFonts w:ascii="Times New Roman" w:hAnsi="Times New Roman"/>
          <w:sz w:val="24"/>
        </w:rPr>
        <w:t xml:space="preserve"> Der zuständige Dienst veröffentlicht regelmäßig:</w:t>
      </w:r>
    </w:p>
    <w:p w14:paraId="5421D7A7" w14:textId="77777777" w:rsidR="00E57FCA" w:rsidRDefault="00E57FCA" w:rsidP="00E57FCA">
      <w:pPr>
        <w:spacing w:after="0" w:line="240" w:lineRule="auto"/>
        <w:jc w:val="both"/>
        <w:rPr>
          <w:rFonts w:ascii="Times New Roman" w:hAnsi="Times New Roman" w:cs="Times New Roman"/>
          <w:sz w:val="24"/>
          <w:szCs w:val="24"/>
        </w:rPr>
      </w:pPr>
    </w:p>
    <w:p w14:paraId="209647B3" w14:textId="368578CA"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 die Liste der Marken von Holzpellets, die den Bestimmungen des vorliegenden Erlasses entsprechen. Diese Liste ist auf der Website des Föderalen Öffentlichen Dienstes Volksgesundheit, Sicherheit der Nahrungsmittelkette und Umwelt unter der Adresse www.health.fgov.be, Umwelt, nachhaltige Produktion und nachhaltiger Konsum, Produkte, einsehbar,</w:t>
      </w:r>
    </w:p>
    <w:p w14:paraId="2973C4B8" w14:textId="77777777" w:rsidR="00E57FCA" w:rsidRDefault="00E57FCA" w:rsidP="00E57FCA">
      <w:pPr>
        <w:spacing w:after="0" w:line="240" w:lineRule="auto"/>
        <w:jc w:val="both"/>
        <w:rPr>
          <w:rFonts w:ascii="Times New Roman" w:hAnsi="Times New Roman" w:cs="Times New Roman"/>
          <w:sz w:val="24"/>
          <w:szCs w:val="24"/>
        </w:rPr>
      </w:pPr>
    </w:p>
    <w:p w14:paraId="40495E3E" w14:textId="594E9046"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 die Liste der Verkaufsstellen für Holzpellets.</w:t>
      </w:r>
    </w:p>
    <w:p w14:paraId="55F3A8D5" w14:textId="77777777" w:rsidR="00E57FCA" w:rsidRDefault="00E57FCA" w:rsidP="00E57FCA">
      <w:pPr>
        <w:spacing w:after="0" w:line="240" w:lineRule="auto"/>
        <w:jc w:val="both"/>
        <w:rPr>
          <w:rFonts w:ascii="Times New Roman" w:hAnsi="Times New Roman" w:cs="Times New Roman"/>
          <w:sz w:val="24"/>
          <w:szCs w:val="24"/>
        </w:rPr>
      </w:pPr>
    </w:p>
    <w:p w14:paraId="1C5CBEE2" w14:textId="69668C7E" w:rsidR="00E57FCA" w:rsidRDefault="00E57FCA" w:rsidP="00E57FCA">
      <w:pPr>
        <w:spacing w:after="0" w:line="240" w:lineRule="auto"/>
        <w:jc w:val="both"/>
        <w:rPr>
          <w:rFonts w:ascii="Times New Roman" w:hAnsi="Times New Roman" w:cs="Times New Roman"/>
          <w:sz w:val="24"/>
          <w:szCs w:val="24"/>
        </w:rPr>
      </w:pPr>
    </w:p>
    <w:p w14:paraId="7F931991" w14:textId="16C53BA1"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b/>
          <w:sz w:val="24"/>
        </w:rPr>
        <w:tab/>
        <w:t>Art. 9 ­</w:t>
      </w:r>
      <w:r>
        <w:rPr>
          <w:rFonts w:ascii="Times New Roman" w:hAnsi="Times New Roman"/>
          <w:sz w:val="24"/>
        </w:rPr>
        <w:t xml:space="preserve"> Vorliegender Erlass tritt drei Monate nach dem Tag seiner Veröffentlichung im </w:t>
      </w:r>
      <w:r>
        <w:rPr>
          <w:rFonts w:ascii="Times New Roman" w:hAnsi="Times New Roman"/>
          <w:i/>
          <w:sz w:val="24"/>
        </w:rPr>
        <w:t>Belgischen Staatsblatt</w:t>
      </w:r>
      <w:r>
        <w:rPr>
          <w:rFonts w:ascii="Times New Roman" w:hAnsi="Times New Roman"/>
          <w:sz w:val="24"/>
        </w:rPr>
        <w:t xml:space="preserve"> in Kraft.</w:t>
      </w:r>
    </w:p>
    <w:p w14:paraId="4948DD97" w14:textId="77777777" w:rsidR="00E57FCA" w:rsidRPr="00E57FCA" w:rsidRDefault="00E57FCA" w:rsidP="00E57FCA">
      <w:pPr>
        <w:spacing w:after="0" w:line="240" w:lineRule="auto"/>
        <w:jc w:val="both"/>
        <w:rPr>
          <w:rFonts w:ascii="Times New Roman" w:hAnsi="Times New Roman" w:cs="Times New Roman"/>
          <w:sz w:val="24"/>
          <w:szCs w:val="24"/>
        </w:rPr>
      </w:pPr>
    </w:p>
    <w:p w14:paraId="0B915EE4" w14:textId="77777777" w:rsidR="00E57FCA" w:rsidRDefault="00E57FCA" w:rsidP="00E57FCA">
      <w:pPr>
        <w:spacing w:after="0" w:line="240" w:lineRule="auto"/>
        <w:jc w:val="both"/>
        <w:rPr>
          <w:rFonts w:ascii="Times New Roman" w:hAnsi="Times New Roman" w:cs="Times New Roman"/>
          <w:sz w:val="24"/>
          <w:szCs w:val="24"/>
        </w:rPr>
      </w:pPr>
    </w:p>
    <w:p w14:paraId="0B69C4E6" w14:textId="3FFFA832" w:rsidR="00E57FCA" w:rsidRPr="00E57FCA" w:rsidRDefault="00E57FCA" w:rsidP="00E57FCA">
      <w:pPr>
        <w:spacing w:after="0" w:line="240" w:lineRule="auto"/>
        <w:jc w:val="both"/>
        <w:rPr>
          <w:rFonts w:ascii="Times New Roman" w:hAnsi="Times New Roman" w:cs="Times New Roman"/>
          <w:sz w:val="24"/>
          <w:szCs w:val="24"/>
        </w:rPr>
      </w:pPr>
      <w:r>
        <w:rPr>
          <w:rFonts w:ascii="Times New Roman" w:hAnsi="Times New Roman"/>
          <w:b/>
          <w:sz w:val="24"/>
        </w:rPr>
        <w:tab/>
        <w:t>Art. 10 ­</w:t>
      </w:r>
      <w:r>
        <w:rPr>
          <w:rFonts w:ascii="Times New Roman" w:hAnsi="Times New Roman"/>
          <w:sz w:val="24"/>
        </w:rPr>
        <w:t xml:space="preserve"> Der für Umwelt und Verbraucherschutz zuständige Minister ist mit der Ausführung des vorliegenden Erlasses beauftragt.</w:t>
      </w:r>
    </w:p>
    <w:p w14:paraId="0EE6C123" w14:textId="77777777" w:rsidR="00E57FCA" w:rsidRDefault="00E57FCA" w:rsidP="00E57FCA">
      <w:pPr>
        <w:spacing w:after="0" w:line="240" w:lineRule="auto"/>
        <w:jc w:val="both"/>
        <w:rPr>
          <w:rFonts w:ascii="Times New Roman" w:hAnsi="Times New Roman" w:cs="Times New Roman"/>
          <w:sz w:val="24"/>
          <w:szCs w:val="24"/>
        </w:rPr>
      </w:pPr>
    </w:p>
    <w:p w14:paraId="299CD78F" w14:textId="77777777" w:rsidR="00E57FCA" w:rsidRDefault="00E57FCA" w:rsidP="00E57FCA">
      <w:pPr>
        <w:spacing w:after="0" w:line="240" w:lineRule="auto"/>
        <w:jc w:val="both"/>
        <w:rPr>
          <w:rFonts w:ascii="Times New Roman" w:hAnsi="Times New Roman" w:cs="Times New Roman"/>
          <w:sz w:val="24"/>
          <w:szCs w:val="24"/>
        </w:rPr>
      </w:pPr>
    </w:p>
    <w:p w14:paraId="418E3BE2" w14:textId="01065F32" w:rsidR="00E57FCA" w:rsidRDefault="00E57FCA" w:rsidP="00E57FCA">
      <w:pPr>
        <w:spacing w:after="0" w:line="240" w:lineRule="auto"/>
        <w:jc w:val="both"/>
        <w:rPr>
          <w:rFonts w:ascii="Times New Roman" w:hAnsi="Times New Roman" w:cs="Times New Roman"/>
          <w:sz w:val="24"/>
          <w:szCs w:val="24"/>
        </w:rPr>
      </w:pPr>
      <w:r>
        <w:rPr>
          <w:rFonts w:ascii="Times New Roman" w:hAnsi="Times New Roman"/>
          <w:sz w:val="24"/>
        </w:rPr>
        <w:tab/>
        <w:t>Gegeben zu Brüssel, den 5. April 2011</w:t>
      </w:r>
    </w:p>
    <w:p w14:paraId="7D61BDB8" w14:textId="77777777" w:rsidR="0027734E" w:rsidRDefault="0027734E" w:rsidP="00E57FCA">
      <w:pPr>
        <w:spacing w:after="0" w:line="240" w:lineRule="auto"/>
        <w:jc w:val="both"/>
        <w:rPr>
          <w:rFonts w:ascii="Times New Roman" w:hAnsi="Times New Roman" w:cs="Times New Roman"/>
          <w:sz w:val="24"/>
          <w:szCs w:val="24"/>
        </w:rPr>
      </w:pPr>
    </w:p>
    <w:p w14:paraId="1B43715A" w14:textId="77777777" w:rsidR="0027734E" w:rsidRPr="00E57FCA" w:rsidRDefault="0027734E" w:rsidP="00E57FCA">
      <w:pPr>
        <w:spacing w:after="0" w:line="240" w:lineRule="auto"/>
        <w:jc w:val="both"/>
        <w:rPr>
          <w:rFonts w:ascii="Times New Roman" w:hAnsi="Times New Roman" w:cs="Times New Roman"/>
          <w:sz w:val="24"/>
          <w:szCs w:val="24"/>
        </w:rPr>
      </w:pPr>
    </w:p>
    <w:p w14:paraId="089C2166" w14:textId="6C7EB743" w:rsidR="00E57FCA" w:rsidRDefault="00E57FCA" w:rsidP="00E57FCA">
      <w:pPr>
        <w:spacing w:after="0" w:line="240" w:lineRule="auto"/>
        <w:jc w:val="center"/>
        <w:rPr>
          <w:rFonts w:ascii="Times New Roman" w:hAnsi="Times New Roman" w:cs="Times New Roman"/>
          <w:sz w:val="24"/>
          <w:szCs w:val="24"/>
        </w:rPr>
      </w:pPr>
      <w:r>
        <w:rPr>
          <w:rFonts w:ascii="Times New Roman" w:hAnsi="Times New Roman"/>
          <w:sz w:val="24"/>
        </w:rPr>
        <w:t>ALBERT</w:t>
      </w:r>
    </w:p>
    <w:p w14:paraId="5928A65E" w14:textId="77777777" w:rsidR="0027734E" w:rsidRPr="00E57FCA" w:rsidRDefault="0027734E" w:rsidP="00E57FCA">
      <w:pPr>
        <w:spacing w:after="0" w:line="240" w:lineRule="auto"/>
        <w:jc w:val="center"/>
        <w:rPr>
          <w:rFonts w:ascii="Times New Roman" w:hAnsi="Times New Roman" w:cs="Times New Roman"/>
          <w:sz w:val="24"/>
          <w:szCs w:val="24"/>
        </w:rPr>
      </w:pPr>
    </w:p>
    <w:p w14:paraId="68BA06CA" w14:textId="544964B9" w:rsidR="00E57FCA" w:rsidRDefault="00E57FCA" w:rsidP="00E57FCA">
      <w:pPr>
        <w:spacing w:after="0" w:line="240" w:lineRule="auto"/>
        <w:jc w:val="center"/>
        <w:rPr>
          <w:rFonts w:ascii="Times New Roman" w:hAnsi="Times New Roman" w:cs="Times New Roman"/>
          <w:sz w:val="24"/>
          <w:szCs w:val="24"/>
        </w:rPr>
      </w:pPr>
      <w:r>
        <w:rPr>
          <w:rFonts w:ascii="Times New Roman" w:hAnsi="Times New Roman"/>
          <w:sz w:val="24"/>
        </w:rPr>
        <w:t>Von Königs wegen:</w:t>
      </w:r>
    </w:p>
    <w:p w14:paraId="556E90B9" w14:textId="77777777" w:rsidR="0027734E" w:rsidRPr="00E57FCA" w:rsidRDefault="0027734E" w:rsidP="00E57FCA">
      <w:pPr>
        <w:spacing w:after="0" w:line="240" w:lineRule="auto"/>
        <w:jc w:val="center"/>
        <w:rPr>
          <w:rFonts w:ascii="Times New Roman" w:hAnsi="Times New Roman" w:cs="Times New Roman"/>
          <w:sz w:val="24"/>
          <w:szCs w:val="24"/>
        </w:rPr>
      </w:pPr>
    </w:p>
    <w:p w14:paraId="43A37130" w14:textId="1EA9FB6E" w:rsidR="00E57FCA" w:rsidRPr="00E57FCA" w:rsidRDefault="00E57FCA" w:rsidP="00E57FCA">
      <w:pPr>
        <w:spacing w:after="0" w:line="240" w:lineRule="auto"/>
        <w:jc w:val="center"/>
        <w:rPr>
          <w:rFonts w:ascii="Times New Roman" w:hAnsi="Times New Roman" w:cs="Times New Roman"/>
          <w:sz w:val="24"/>
          <w:szCs w:val="24"/>
        </w:rPr>
      </w:pPr>
      <w:r>
        <w:rPr>
          <w:rFonts w:ascii="Times New Roman" w:hAnsi="Times New Roman"/>
          <w:sz w:val="24"/>
        </w:rPr>
        <w:t>Der Minister des Klimas und der Energie</w:t>
      </w:r>
    </w:p>
    <w:p w14:paraId="703A174D" w14:textId="7A1F65DA" w:rsidR="00E57FCA" w:rsidRPr="00E57FCA" w:rsidRDefault="00E57FCA" w:rsidP="00E57FCA">
      <w:pPr>
        <w:spacing w:after="0" w:line="240" w:lineRule="auto"/>
        <w:jc w:val="center"/>
        <w:rPr>
          <w:rFonts w:ascii="Times New Roman" w:hAnsi="Times New Roman" w:cs="Times New Roman"/>
          <w:sz w:val="24"/>
          <w:szCs w:val="24"/>
        </w:rPr>
      </w:pPr>
      <w:r>
        <w:rPr>
          <w:rFonts w:ascii="Times New Roman" w:hAnsi="Times New Roman"/>
          <w:sz w:val="24"/>
        </w:rPr>
        <w:t>P. MAGNETTE</w:t>
      </w:r>
    </w:p>
    <w:p w14:paraId="7F9CCF24" w14:textId="77777777" w:rsidR="00E57FCA" w:rsidRDefault="00E57FCA" w:rsidP="00E57FCA">
      <w:pPr>
        <w:spacing w:after="0" w:line="240" w:lineRule="auto"/>
        <w:jc w:val="center"/>
        <w:rPr>
          <w:rFonts w:ascii="Times New Roman" w:hAnsi="Times New Roman" w:cs="Times New Roman"/>
          <w:sz w:val="24"/>
          <w:szCs w:val="24"/>
        </w:rPr>
      </w:pPr>
    </w:p>
    <w:p w14:paraId="524E490F" w14:textId="2055A316" w:rsidR="0027734E" w:rsidRPr="00DB1499" w:rsidRDefault="0027734E" w:rsidP="0027734E">
      <w:pPr>
        <w:spacing w:after="0" w:line="240" w:lineRule="auto"/>
        <w:jc w:val="center"/>
        <w:rPr>
          <w:rFonts w:ascii="Times New Roman" w:hAnsi="Times New Roman" w:cs="Times New Roman"/>
          <w:sz w:val="20"/>
        </w:rPr>
      </w:pPr>
      <w:r>
        <w:rPr>
          <w:rFonts w:ascii="Times New Roman" w:hAnsi="Times New Roman"/>
          <w:sz w:val="20"/>
        </w:rPr>
        <w:t>______</w:t>
      </w:r>
    </w:p>
    <w:p w14:paraId="17E46A67" w14:textId="77777777" w:rsidR="00037715" w:rsidRDefault="00037715">
      <w:pPr>
        <w:rPr>
          <w:rFonts w:ascii="Times New Roman" w:hAnsi="Times New Roman" w:cs="Times New Roman"/>
          <w:sz w:val="24"/>
          <w:szCs w:val="24"/>
        </w:rPr>
        <w:sectPr w:rsidR="00037715">
          <w:pgSz w:w="11906" w:h="16838"/>
          <w:pgMar w:top="1417" w:right="1417" w:bottom="1417" w:left="1417" w:header="708" w:footer="708" w:gutter="0"/>
          <w:cols w:space="708"/>
          <w:docGrid w:linePitch="360"/>
        </w:sectPr>
      </w:pPr>
    </w:p>
    <w:p w14:paraId="26BA9187" w14:textId="4A224DA4" w:rsidR="0027734E" w:rsidRDefault="00E57FCA" w:rsidP="0027734E">
      <w:pPr>
        <w:spacing w:after="0" w:line="240" w:lineRule="auto"/>
        <w:jc w:val="center"/>
        <w:rPr>
          <w:rFonts w:ascii="Times New Roman" w:hAnsi="Times New Roman" w:cs="Times New Roman"/>
          <w:sz w:val="24"/>
          <w:szCs w:val="24"/>
        </w:rPr>
      </w:pPr>
      <w:r>
        <w:rPr>
          <w:rFonts w:ascii="Times New Roman" w:hAnsi="Times New Roman"/>
          <w:sz w:val="24"/>
        </w:rPr>
        <w:lastRenderedPageBreak/>
        <w:t>Anlage 1</w:t>
      </w:r>
    </w:p>
    <w:p w14:paraId="2FBFFA4C" w14:textId="77777777" w:rsidR="0027734E" w:rsidRDefault="0027734E" w:rsidP="00E57FCA">
      <w:pPr>
        <w:spacing w:after="0" w:line="240" w:lineRule="auto"/>
        <w:jc w:val="both"/>
        <w:rPr>
          <w:rFonts w:ascii="Times New Roman" w:hAnsi="Times New Roman" w:cs="Times New Roman"/>
          <w:sz w:val="24"/>
          <w:szCs w:val="24"/>
        </w:rPr>
      </w:pPr>
    </w:p>
    <w:p w14:paraId="005A6C2B" w14:textId="77777777" w:rsidR="0027734E" w:rsidRDefault="0027734E" w:rsidP="00E57FCA">
      <w:pPr>
        <w:spacing w:after="0" w:line="240" w:lineRule="auto"/>
        <w:jc w:val="both"/>
        <w:rPr>
          <w:rFonts w:ascii="Times New Roman" w:hAnsi="Times New Roman" w:cs="Times New Roman"/>
          <w:sz w:val="24"/>
          <w:szCs w:val="24"/>
        </w:rPr>
      </w:pPr>
    </w:p>
    <w:p w14:paraId="0C050BA1" w14:textId="0CF4C2F9" w:rsidR="00E57FCA" w:rsidRPr="0027734E" w:rsidRDefault="00E57FCA" w:rsidP="0027734E">
      <w:pPr>
        <w:spacing w:after="0" w:line="240" w:lineRule="auto"/>
        <w:jc w:val="center"/>
        <w:rPr>
          <w:rFonts w:ascii="Times New Roman" w:hAnsi="Times New Roman" w:cs="Times New Roman"/>
          <w:b/>
          <w:bCs/>
          <w:sz w:val="24"/>
          <w:szCs w:val="24"/>
        </w:rPr>
      </w:pPr>
      <w:r>
        <w:rPr>
          <w:rFonts w:ascii="Times New Roman" w:hAnsi="Times New Roman"/>
          <w:b/>
          <w:sz w:val="24"/>
        </w:rPr>
        <w:t>Tabelle der Anforderungen an Holzpellets in Anwendung von Artikel 5 § 1</w:t>
      </w:r>
    </w:p>
    <w:p w14:paraId="389BE70C" w14:textId="1B777838" w:rsidR="00E57FCA" w:rsidRPr="00E57FCA" w:rsidRDefault="00E57FCA" w:rsidP="00E57FCA">
      <w:pPr>
        <w:spacing w:after="0" w:line="240" w:lineRule="auto"/>
        <w:jc w:val="both"/>
        <w:rPr>
          <w:rFonts w:ascii="Times New Roman" w:hAnsi="Times New Roman" w:cs="Times New Roman"/>
          <w:sz w:val="24"/>
          <w:szCs w:val="24"/>
        </w:rPr>
      </w:pPr>
    </w:p>
    <w:p w14:paraId="7DED6680" w14:textId="62F1F6F0" w:rsidR="00E57FCA" w:rsidRPr="00E57FCA" w:rsidRDefault="00E57FCA" w:rsidP="00E57FCA">
      <w:pPr>
        <w:spacing w:after="0" w:line="240" w:lineRule="auto"/>
        <w:jc w:val="both"/>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9062"/>
      </w:tblGrid>
      <w:tr w:rsidR="0027734E" w:rsidRPr="00037715" w14:paraId="4F05AFA5" w14:textId="77777777" w:rsidTr="0027734E">
        <w:tc>
          <w:tcPr>
            <w:tcW w:w="9062" w:type="dxa"/>
          </w:tcPr>
          <w:p w14:paraId="11ACD079" w14:textId="77777777" w:rsidR="0027734E" w:rsidRPr="0027734E" w:rsidRDefault="0027734E" w:rsidP="0027734E">
            <w:pPr>
              <w:jc w:val="both"/>
              <w:rPr>
                <w:rFonts w:ascii="Times New Roman" w:hAnsi="Times New Roman" w:cs="Times New Roman"/>
              </w:rPr>
            </w:pPr>
            <w:r>
              <w:rPr>
                <w:rFonts w:ascii="Times New Roman" w:hAnsi="Times New Roman"/>
              </w:rPr>
              <w:t>Die Messungen und Prüfverfahren für Holzpellets müssen gemäß folgenden Normen durchgeführt werden:</w:t>
            </w:r>
          </w:p>
          <w:p w14:paraId="2DC6782B" w14:textId="77777777" w:rsidR="0027734E" w:rsidRPr="0027734E" w:rsidRDefault="0027734E" w:rsidP="0027734E">
            <w:pPr>
              <w:jc w:val="both"/>
              <w:rPr>
                <w:rFonts w:ascii="Times New Roman" w:hAnsi="Times New Roman" w:cs="Times New Roman"/>
              </w:rPr>
            </w:pPr>
            <w:r>
              <w:rPr>
                <w:rFonts w:ascii="Times New Roman" w:hAnsi="Times New Roman"/>
              </w:rPr>
              <w:t xml:space="preserve">  </w:t>
            </w:r>
          </w:p>
          <w:p w14:paraId="31FCC4AA" w14:textId="77777777" w:rsidR="0027734E" w:rsidRPr="001D013D" w:rsidRDefault="0027734E" w:rsidP="0027734E">
            <w:pPr>
              <w:jc w:val="both"/>
              <w:rPr>
                <w:rFonts w:ascii="Times New Roman" w:hAnsi="Times New Roman" w:cs="Times New Roman"/>
                <w:lang w:val="en-GB"/>
              </w:rPr>
            </w:pPr>
            <w:r w:rsidRPr="001D013D">
              <w:rPr>
                <w:rFonts w:ascii="Times New Roman" w:hAnsi="Times New Roman"/>
                <w:lang w:val="en-GB"/>
              </w:rPr>
              <w:t>- EN 14961-1:2010, Solid biofuels - Fuel specifications and classes</w:t>
            </w:r>
          </w:p>
          <w:p w14:paraId="49118CB1" w14:textId="77777777" w:rsidR="0027734E" w:rsidRPr="001D013D" w:rsidRDefault="0027734E" w:rsidP="0027734E">
            <w:pPr>
              <w:jc w:val="both"/>
              <w:rPr>
                <w:rFonts w:ascii="Times New Roman" w:hAnsi="Times New Roman" w:cs="Times New Roman"/>
                <w:lang w:val="en-GB"/>
              </w:rPr>
            </w:pPr>
            <w:r w:rsidRPr="001D013D">
              <w:rPr>
                <w:rFonts w:ascii="Times New Roman" w:hAnsi="Times New Roman"/>
                <w:lang w:val="en-GB"/>
              </w:rPr>
              <w:t xml:space="preserve">  </w:t>
            </w:r>
          </w:p>
          <w:p w14:paraId="414F4176" w14:textId="77777777" w:rsidR="0027734E" w:rsidRPr="001D013D" w:rsidRDefault="0027734E" w:rsidP="0027734E">
            <w:pPr>
              <w:jc w:val="both"/>
              <w:rPr>
                <w:rFonts w:ascii="Times New Roman" w:hAnsi="Times New Roman" w:cs="Times New Roman"/>
                <w:lang w:val="en-GB"/>
              </w:rPr>
            </w:pPr>
            <w:r w:rsidRPr="001D013D">
              <w:rPr>
                <w:rFonts w:ascii="Times New Roman" w:hAnsi="Times New Roman"/>
                <w:lang w:val="en-GB"/>
              </w:rPr>
              <w:t>- EN 14774-1, Solid biofuels - Methods for the determination of moisture content - Oven dry method - Part 1: Total moisture - Reference method</w:t>
            </w:r>
          </w:p>
          <w:p w14:paraId="188F1992" w14:textId="77777777" w:rsidR="0027734E" w:rsidRPr="001D013D" w:rsidRDefault="0027734E" w:rsidP="0027734E">
            <w:pPr>
              <w:jc w:val="both"/>
              <w:rPr>
                <w:rFonts w:ascii="Times New Roman" w:hAnsi="Times New Roman" w:cs="Times New Roman"/>
                <w:lang w:val="en-GB"/>
              </w:rPr>
            </w:pPr>
            <w:r w:rsidRPr="001D013D">
              <w:rPr>
                <w:rFonts w:ascii="Times New Roman" w:hAnsi="Times New Roman"/>
                <w:lang w:val="en-GB"/>
              </w:rPr>
              <w:t xml:space="preserve">  </w:t>
            </w:r>
          </w:p>
          <w:p w14:paraId="44D4B760" w14:textId="77777777" w:rsidR="0027734E" w:rsidRPr="001D013D" w:rsidRDefault="0027734E" w:rsidP="0027734E">
            <w:pPr>
              <w:jc w:val="both"/>
              <w:rPr>
                <w:rFonts w:ascii="Times New Roman" w:hAnsi="Times New Roman" w:cs="Times New Roman"/>
                <w:lang w:val="en-GB"/>
              </w:rPr>
            </w:pPr>
            <w:r w:rsidRPr="001D013D">
              <w:rPr>
                <w:rFonts w:ascii="Times New Roman" w:hAnsi="Times New Roman"/>
                <w:lang w:val="en-GB"/>
              </w:rPr>
              <w:t>- EN 14774-2, Solid biofuels - Methods for the determination of moisture content - Oven dry method - Part 2: Total moisture - Simplified procedure</w:t>
            </w:r>
          </w:p>
          <w:p w14:paraId="2F8BC6B3" w14:textId="77777777" w:rsidR="0027734E" w:rsidRPr="001D013D" w:rsidRDefault="0027734E" w:rsidP="0027734E">
            <w:pPr>
              <w:jc w:val="both"/>
              <w:rPr>
                <w:rFonts w:ascii="Times New Roman" w:hAnsi="Times New Roman" w:cs="Times New Roman"/>
                <w:lang w:val="en-GB"/>
              </w:rPr>
            </w:pPr>
            <w:r w:rsidRPr="001D013D">
              <w:rPr>
                <w:rFonts w:ascii="Times New Roman" w:hAnsi="Times New Roman"/>
                <w:lang w:val="en-GB"/>
              </w:rPr>
              <w:t xml:space="preserve">  </w:t>
            </w:r>
          </w:p>
          <w:p w14:paraId="20529F4A" w14:textId="77777777" w:rsidR="0027734E" w:rsidRPr="001D013D" w:rsidRDefault="0027734E" w:rsidP="0027734E">
            <w:pPr>
              <w:jc w:val="both"/>
              <w:rPr>
                <w:rFonts w:ascii="Times New Roman" w:hAnsi="Times New Roman" w:cs="Times New Roman"/>
                <w:lang w:val="en-GB"/>
              </w:rPr>
            </w:pPr>
            <w:r w:rsidRPr="001D013D">
              <w:rPr>
                <w:rFonts w:ascii="Times New Roman" w:hAnsi="Times New Roman"/>
                <w:lang w:val="en-GB"/>
              </w:rPr>
              <w:t>- EN 14775, Solid biofuels - Methods for the determination of ash content</w:t>
            </w:r>
          </w:p>
          <w:p w14:paraId="1CB5A0B1" w14:textId="77777777" w:rsidR="0027734E" w:rsidRPr="001D013D" w:rsidRDefault="0027734E" w:rsidP="0027734E">
            <w:pPr>
              <w:jc w:val="both"/>
              <w:rPr>
                <w:rFonts w:ascii="Times New Roman" w:hAnsi="Times New Roman" w:cs="Times New Roman"/>
                <w:lang w:val="en-GB"/>
              </w:rPr>
            </w:pPr>
            <w:r w:rsidRPr="001D013D">
              <w:rPr>
                <w:rFonts w:ascii="Times New Roman" w:hAnsi="Times New Roman"/>
                <w:lang w:val="en-GB"/>
              </w:rPr>
              <w:t xml:space="preserve">  </w:t>
            </w:r>
          </w:p>
          <w:p w14:paraId="7EE272B9" w14:textId="77777777" w:rsidR="0027734E" w:rsidRPr="001D013D" w:rsidRDefault="0027734E" w:rsidP="0027734E">
            <w:pPr>
              <w:jc w:val="both"/>
              <w:rPr>
                <w:rFonts w:ascii="Times New Roman" w:hAnsi="Times New Roman" w:cs="Times New Roman"/>
                <w:lang w:val="en-GB"/>
              </w:rPr>
            </w:pPr>
            <w:r w:rsidRPr="001D013D">
              <w:rPr>
                <w:rFonts w:ascii="Times New Roman" w:hAnsi="Times New Roman"/>
                <w:lang w:val="en-GB"/>
              </w:rPr>
              <w:t>- prEN 15370, Solid Biofuels - Methods for the determination of ash melting behaviour - Part 1: Characteristic temperatures method</w:t>
            </w:r>
          </w:p>
          <w:p w14:paraId="50582DE6" w14:textId="77777777" w:rsidR="0027734E" w:rsidRPr="001D013D" w:rsidRDefault="0027734E" w:rsidP="0027734E">
            <w:pPr>
              <w:jc w:val="both"/>
              <w:rPr>
                <w:rFonts w:ascii="Times New Roman" w:hAnsi="Times New Roman" w:cs="Times New Roman"/>
                <w:lang w:val="en-GB"/>
              </w:rPr>
            </w:pPr>
            <w:r w:rsidRPr="001D013D">
              <w:rPr>
                <w:rFonts w:ascii="Times New Roman" w:hAnsi="Times New Roman"/>
                <w:lang w:val="en-GB"/>
              </w:rPr>
              <w:t xml:space="preserve">  </w:t>
            </w:r>
          </w:p>
          <w:p w14:paraId="61E5B2C9" w14:textId="77777777" w:rsidR="0027734E" w:rsidRPr="001D013D" w:rsidRDefault="0027734E" w:rsidP="0027734E">
            <w:pPr>
              <w:jc w:val="both"/>
              <w:rPr>
                <w:rFonts w:ascii="Times New Roman" w:hAnsi="Times New Roman" w:cs="Times New Roman"/>
                <w:lang w:val="en-GB"/>
              </w:rPr>
            </w:pPr>
            <w:r w:rsidRPr="001D013D">
              <w:rPr>
                <w:rFonts w:ascii="Times New Roman" w:hAnsi="Times New Roman"/>
                <w:lang w:val="en-GB"/>
              </w:rPr>
              <w:t>- CEN/TS 14778-1, Solid Biofuels - Methods for sampling</w:t>
            </w:r>
          </w:p>
          <w:p w14:paraId="4408A7E1" w14:textId="77777777" w:rsidR="0027734E" w:rsidRPr="001D013D" w:rsidRDefault="0027734E" w:rsidP="0027734E">
            <w:pPr>
              <w:jc w:val="both"/>
              <w:rPr>
                <w:rFonts w:ascii="Times New Roman" w:hAnsi="Times New Roman" w:cs="Times New Roman"/>
                <w:lang w:val="en-GB"/>
              </w:rPr>
            </w:pPr>
            <w:r w:rsidRPr="001D013D">
              <w:rPr>
                <w:rFonts w:ascii="Times New Roman" w:hAnsi="Times New Roman"/>
                <w:lang w:val="en-GB"/>
              </w:rPr>
              <w:t xml:space="preserve">  </w:t>
            </w:r>
          </w:p>
          <w:p w14:paraId="1B1D3AEE" w14:textId="77777777" w:rsidR="0027734E" w:rsidRPr="001D013D" w:rsidRDefault="0027734E" w:rsidP="0027734E">
            <w:pPr>
              <w:jc w:val="both"/>
              <w:rPr>
                <w:rFonts w:ascii="Times New Roman" w:hAnsi="Times New Roman" w:cs="Times New Roman"/>
                <w:lang w:val="en-GB"/>
              </w:rPr>
            </w:pPr>
            <w:r w:rsidRPr="001D013D">
              <w:rPr>
                <w:rFonts w:ascii="Times New Roman" w:hAnsi="Times New Roman"/>
                <w:lang w:val="en-GB"/>
              </w:rPr>
              <w:t>- CEN/TS 14779, Solid Biofuels - Methods for preparing sampling plans and sampling certificates</w:t>
            </w:r>
          </w:p>
          <w:p w14:paraId="4B6A8E48" w14:textId="77777777" w:rsidR="0027734E" w:rsidRPr="001D013D" w:rsidRDefault="0027734E" w:rsidP="0027734E">
            <w:pPr>
              <w:jc w:val="both"/>
              <w:rPr>
                <w:rFonts w:ascii="Times New Roman" w:hAnsi="Times New Roman" w:cs="Times New Roman"/>
                <w:lang w:val="en-GB"/>
              </w:rPr>
            </w:pPr>
            <w:r w:rsidRPr="001D013D">
              <w:rPr>
                <w:rFonts w:ascii="Times New Roman" w:hAnsi="Times New Roman"/>
                <w:lang w:val="en-GB"/>
              </w:rPr>
              <w:t xml:space="preserve">  </w:t>
            </w:r>
          </w:p>
          <w:p w14:paraId="51E1477B" w14:textId="77777777" w:rsidR="0027734E" w:rsidRPr="001D013D" w:rsidRDefault="0027734E" w:rsidP="0027734E">
            <w:pPr>
              <w:jc w:val="both"/>
              <w:rPr>
                <w:rFonts w:ascii="Times New Roman" w:hAnsi="Times New Roman" w:cs="Times New Roman"/>
                <w:lang w:val="en-GB"/>
              </w:rPr>
            </w:pPr>
            <w:r w:rsidRPr="001D013D">
              <w:rPr>
                <w:rFonts w:ascii="Times New Roman" w:hAnsi="Times New Roman"/>
                <w:lang w:val="en-GB"/>
              </w:rPr>
              <w:t>- CEN/TS 14780, Solid Biofuels - Methods for sample reduction</w:t>
            </w:r>
          </w:p>
          <w:p w14:paraId="4A802608" w14:textId="77777777" w:rsidR="0027734E" w:rsidRPr="001D013D" w:rsidRDefault="0027734E" w:rsidP="0027734E">
            <w:pPr>
              <w:jc w:val="both"/>
              <w:rPr>
                <w:rFonts w:ascii="Times New Roman" w:hAnsi="Times New Roman" w:cs="Times New Roman"/>
                <w:lang w:val="en-GB"/>
              </w:rPr>
            </w:pPr>
            <w:r w:rsidRPr="001D013D">
              <w:rPr>
                <w:rFonts w:ascii="Times New Roman" w:hAnsi="Times New Roman"/>
                <w:lang w:val="en-GB"/>
              </w:rPr>
              <w:t xml:space="preserve">  </w:t>
            </w:r>
          </w:p>
          <w:p w14:paraId="313FCD69" w14:textId="77777777" w:rsidR="0027734E" w:rsidRPr="001D013D" w:rsidRDefault="0027734E" w:rsidP="0027734E">
            <w:pPr>
              <w:jc w:val="both"/>
              <w:rPr>
                <w:rFonts w:ascii="Times New Roman" w:hAnsi="Times New Roman" w:cs="Times New Roman"/>
                <w:lang w:val="en-GB"/>
              </w:rPr>
            </w:pPr>
            <w:r w:rsidRPr="001D013D">
              <w:rPr>
                <w:rFonts w:ascii="Times New Roman" w:hAnsi="Times New Roman"/>
                <w:lang w:val="en-GB"/>
              </w:rPr>
              <w:t>- EN 14918, Solid Biofuels - Method for the determination of calorific values</w:t>
            </w:r>
          </w:p>
          <w:p w14:paraId="77B7FA13" w14:textId="77777777" w:rsidR="0027734E" w:rsidRPr="001D013D" w:rsidRDefault="0027734E" w:rsidP="0027734E">
            <w:pPr>
              <w:jc w:val="both"/>
              <w:rPr>
                <w:rFonts w:ascii="Times New Roman" w:hAnsi="Times New Roman" w:cs="Times New Roman"/>
                <w:lang w:val="en-GB"/>
              </w:rPr>
            </w:pPr>
            <w:r w:rsidRPr="001D013D">
              <w:rPr>
                <w:rFonts w:ascii="Times New Roman" w:hAnsi="Times New Roman"/>
                <w:lang w:val="en-GB"/>
              </w:rPr>
              <w:t xml:space="preserve">  </w:t>
            </w:r>
          </w:p>
          <w:p w14:paraId="6801AF4C" w14:textId="77777777" w:rsidR="0027734E" w:rsidRPr="001D013D" w:rsidRDefault="0027734E" w:rsidP="0027734E">
            <w:pPr>
              <w:jc w:val="both"/>
              <w:rPr>
                <w:rFonts w:ascii="Times New Roman" w:hAnsi="Times New Roman" w:cs="Times New Roman"/>
                <w:lang w:val="en-GB"/>
              </w:rPr>
            </w:pPr>
            <w:r w:rsidRPr="001D013D">
              <w:rPr>
                <w:rFonts w:ascii="Times New Roman" w:hAnsi="Times New Roman"/>
                <w:lang w:val="en-GB"/>
              </w:rPr>
              <w:t>- EN 15103, Solid Biofuels - Methods for the determination of bulk density</w:t>
            </w:r>
          </w:p>
          <w:p w14:paraId="23AEF551" w14:textId="77777777" w:rsidR="0027734E" w:rsidRPr="001D013D" w:rsidRDefault="0027734E" w:rsidP="0027734E">
            <w:pPr>
              <w:jc w:val="both"/>
              <w:rPr>
                <w:rFonts w:ascii="Times New Roman" w:hAnsi="Times New Roman" w:cs="Times New Roman"/>
                <w:lang w:val="en-GB"/>
              </w:rPr>
            </w:pPr>
            <w:r w:rsidRPr="001D013D">
              <w:rPr>
                <w:rFonts w:ascii="Times New Roman" w:hAnsi="Times New Roman"/>
                <w:lang w:val="en-GB"/>
              </w:rPr>
              <w:t xml:space="preserve">  </w:t>
            </w:r>
          </w:p>
          <w:p w14:paraId="0A05DDD3" w14:textId="77777777" w:rsidR="0027734E" w:rsidRPr="001D013D" w:rsidRDefault="0027734E" w:rsidP="0027734E">
            <w:pPr>
              <w:jc w:val="both"/>
              <w:rPr>
                <w:rFonts w:ascii="Times New Roman" w:hAnsi="Times New Roman" w:cs="Times New Roman"/>
                <w:lang w:val="en-GB"/>
              </w:rPr>
            </w:pPr>
            <w:r w:rsidRPr="001D013D">
              <w:rPr>
                <w:rFonts w:ascii="Times New Roman" w:hAnsi="Times New Roman"/>
                <w:lang w:val="en-GB"/>
              </w:rPr>
              <w:t>- prEN 15104, Solid Biofuels - Determination of carbon, hydrogen and nitrogen - Instrumental method</w:t>
            </w:r>
          </w:p>
          <w:p w14:paraId="1E1BA060" w14:textId="77777777" w:rsidR="0027734E" w:rsidRPr="001D013D" w:rsidRDefault="0027734E" w:rsidP="0027734E">
            <w:pPr>
              <w:jc w:val="both"/>
              <w:rPr>
                <w:rFonts w:ascii="Times New Roman" w:hAnsi="Times New Roman" w:cs="Times New Roman"/>
                <w:lang w:val="en-GB"/>
              </w:rPr>
            </w:pPr>
            <w:r w:rsidRPr="001D013D">
              <w:rPr>
                <w:rFonts w:ascii="Times New Roman" w:hAnsi="Times New Roman"/>
                <w:lang w:val="en-GB"/>
              </w:rPr>
              <w:t xml:space="preserve">  </w:t>
            </w:r>
          </w:p>
          <w:p w14:paraId="24E4499C" w14:textId="77777777" w:rsidR="0027734E" w:rsidRPr="001D013D" w:rsidRDefault="0027734E" w:rsidP="0027734E">
            <w:pPr>
              <w:jc w:val="both"/>
              <w:rPr>
                <w:rFonts w:ascii="Times New Roman" w:hAnsi="Times New Roman" w:cs="Times New Roman"/>
                <w:lang w:val="en-GB"/>
              </w:rPr>
            </w:pPr>
            <w:r w:rsidRPr="001D013D">
              <w:rPr>
                <w:rFonts w:ascii="Times New Roman" w:hAnsi="Times New Roman"/>
                <w:lang w:val="en-GB"/>
              </w:rPr>
              <w:t>- CEN/TS 15105, Solid Biofuels - Methods for the determination of the water soluble content of chloride, sodium and potassium</w:t>
            </w:r>
          </w:p>
          <w:p w14:paraId="64E8AB21" w14:textId="77777777" w:rsidR="0027734E" w:rsidRPr="001D013D" w:rsidRDefault="0027734E" w:rsidP="0027734E">
            <w:pPr>
              <w:jc w:val="both"/>
              <w:rPr>
                <w:rFonts w:ascii="Times New Roman" w:hAnsi="Times New Roman" w:cs="Times New Roman"/>
                <w:lang w:val="en-GB"/>
              </w:rPr>
            </w:pPr>
            <w:r w:rsidRPr="001D013D">
              <w:rPr>
                <w:rFonts w:ascii="Times New Roman" w:hAnsi="Times New Roman"/>
                <w:lang w:val="en-GB"/>
              </w:rPr>
              <w:t xml:space="preserve">  </w:t>
            </w:r>
          </w:p>
          <w:p w14:paraId="4CF9F970" w14:textId="6193B06C" w:rsidR="0027734E" w:rsidRPr="001D013D" w:rsidRDefault="0027734E" w:rsidP="0027734E">
            <w:pPr>
              <w:jc w:val="both"/>
              <w:rPr>
                <w:rFonts w:ascii="Times New Roman" w:hAnsi="Times New Roman" w:cs="Times New Roman"/>
                <w:lang w:val="en-GB"/>
              </w:rPr>
            </w:pPr>
            <w:r w:rsidRPr="001D013D">
              <w:rPr>
                <w:rFonts w:ascii="Times New Roman" w:hAnsi="Times New Roman"/>
                <w:lang w:val="en-GB"/>
              </w:rPr>
              <w:t>-</w:t>
            </w:r>
            <w:r w:rsidR="00B33354">
              <w:rPr>
                <w:rFonts w:ascii="Times New Roman" w:hAnsi="Times New Roman"/>
                <w:lang w:val="en-GB"/>
              </w:rPr>
              <w:t> </w:t>
            </w:r>
            <w:r w:rsidRPr="001D013D">
              <w:rPr>
                <w:rFonts w:ascii="Times New Roman" w:hAnsi="Times New Roman"/>
                <w:lang w:val="en-GB"/>
              </w:rPr>
              <w:t>CEN/TS 15149-2, Solid Biofuels - Methods for the determination of particle size distribution - Part 2: Vibrating screen method for small particles using screen apertures of 3,15 mm and below</w:t>
            </w:r>
          </w:p>
          <w:p w14:paraId="2CE31F78" w14:textId="77777777" w:rsidR="0027734E" w:rsidRPr="001D013D" w:rsidRDefault="0027734E" w:rsidP="0027734E">
            <w:pPr>
              <w:jc w:val="both"/>
              <w:rPr>
                <w:rFonts w:ascii="Times New Roman" w:hAnsi="Times New Roman" w:cs="Times New Roman"/>
                <w:lang w:val="en-GB"/>
              </w:rPr>
            </w:pPr>
            <w:r w:rsidRPr="001D013D">
              <w:rPr>
                <w:rFonts w:ascii="Times New Roman" w:hAnsi="Times New Roman"/>
                <w:lang w:val="en-GB"/>
              </w:rPr>
              <w:t xml:space="preserve">  </w:t>
            </w:r>
          </w:p>
          <w:p w14:paraId="203B1A02" w14:textId="77777777" w:rsidR="0027734E" w:rsidRPr="001D013D" w:rsidRDefault="0027734E" w:rsidP="0027734E">
            <w:pPr>
              <w:jc w:val="both"/>
              <w:rPr>
                <w:rFonts w:ascii="Times New Roman" w:hAnsi="Times New Roman" w:cs="Times New Roman"/>
                <w:lang w:val="en-GB"/>
              </w:rPr>
            </w:pPr>
            <w:r w:rsidRPr="001D013D">
              <w:rPr>
                <w:rFonts w:ascii="Times New Roman" w:hAnsi="Times New Roman"/>
                <w:lang w:val="en-GB"/>
              </w:rPr>
              <w:t>- EN 15210-1, Solid Biofuels - Methods for the determination of mechanical durability of pellets and briquettes - Part 1: Pellets</w:t>
            </w:r>
          </w:p>
          <w:p w14:paraId="16618948" w14:textId="77777777" w:rsidR="0027734E" w:rsidRPr="001D013D" w:rsidRDefault="0027734E" w:rsidP="0027734E">
            <w:pPr>
              <w:jc w:val="both"/>
              <w:rPr>
                <w:rFonts w:ascii="Times New Roman" w:hAnsi="Times New Roman" w:cs="Times New Roman"/>
                <w:lang w:val="en-GB"/>
              </w:rPr>
            </w:pPr>
            <w:r w:rsidRPr="001D013D">
              <w:rPr>
                <w:rFonts w:ascii="Times New Roman" w:hAnsi="Times New Roman"/>
                <w:lang w:val="en-GB"/>
              </w:rPr>
              <w:t xml:space="preserve">  </w:t>
            </w:r>
          </w:p>
          <w:p w14:paraId="36DC5EBB" w14:textId="77777777" w:rsidR="0027734E" w:rsidRPr="001D013D" w:rsidRDefault="0027734E" w:rsidP="0027734E">
            <w:pPr>
              <w:jc w:val="both"/>
              <w:rPr>
                <w:rFonts w:ascii="Times New Roman" w:hAnsi="Times New Roman" w:cs="Times New Roman"/>
                <w:lang w:val="en-GB"/>
              </w:rPr>
            </w:pPr>
            <w:r w:rsidRPr="001D013D">
              <w:rPr>
                <w:rFonts w:ascii="Times New Roman" w:hAnsi="Times New Roman"/>
                <w:lang w:val="en-GB"/>
              </w:rPr>
              <w:t>- CEN/TS 15234, Solid Biofuels - Fuel quality assurance</w:t>
            </w:r>
          </w:p>
          <w:p w14:paraId="3F2B0207" w14:textId="77777777" w:rsidR="0027734E" w:rsidRPr="001D013D" w:rsidRDefault="0027734E" w:rsidP="0027734E">
            <w:pPr>
              <w:jc w:val="both"/>
              <w:rPr>
                <w:rFonts w:ascii="Times New Roman" w:hAnsi="Times New Roman" w:cs="Times New Roman"/>
                <w:lang w:val="en-GB"/>
              </w:rPr>
            </w:pPr>
            <w:r w:rsidRPr="001D013D">
              <w:rPr>
                <w:rFonts w:ascii="Times New Roman" w:hAnsi="Times New Roman"/>
                <w:lang w:val="en-GB"/>
              </w:rPr>
              <w:t xml:space="preserve">  </w:t>
            </w:r>
          </w:p>
          <w:p w14:paraId="6FF99511" w14:textId="77777777" w:rsidR="0027734E" w:rsidRPr="001D013D" w:rsidRDefault="0027734E" w:rsidP="0027734E">
            <w:pPr>
              <w:jc w:val="both"/>
              <w:rPr>
                <w:rFonts w:ascii="Times New Roman" w:hAnsi="Times New Roman" w:cs="Times New Roman"/>
                <w:lang w:val="en-GB"/>
              </w:rPr>
            </w:pPr>
            <w:r w:rsidRPr="001D013D">
              <w:rPr>
                <w:rFonts w:ascii="Times New Roman" w:hAnsi="Times New Roman"/>
                <w:lang w:val="en-GB"/>
              </w:rPr>
              <w:t>- prEN 15297, Solid Biofuels - determination of minor elements</w:t>
            </w:r>
          </w:p>
          <w:p w14:paraId="54D894CD" w14:textId="77777777" w:rsidR="0027734E" w:rsidRPr="0027734E" w:rsidRDefault="0027734E" w:rsidP="0027734E">
            <w:pPr>
              <w:jc w:val="both"/>
              <w:rPr>
                <w:rFonts w:ascii="Times New Roman" w:hAnsi="Times New Roman" w:cs="Times New Roman"/>
                <w:lang w:val="en-GB"/>
              </w:rPr>
            </w:pPr>
          </w:p>
          <w:p w14:paraId="0209DA3B" w14:textId="77777777" w:rsidR="0027734E" w:rsidRPr="0027734E" w:rsidRDefault="0027734E" w:rsidP="00E57FCA">
            <w:pPr>
              <w:jc w:val="both"/>
              <w:rPr>
                <w:rFonts w:ascii="Times New Roman" w:hAnsi="Times New Roman" w:cs="Times New Roman"/>
                <w:lang w:val="en-GB"/>
              </w:rPr>
            </w:pPr>
          </w:p>
        </w:tc>
      </w:tr>
    </w:tbl>
    <w:p w14:paraId="10A4BB2F" w14:textId="77777777" w:rsidR="00E57FCA" w:rsidRPr="00E57FCA" w:rsidRDefault="00E57FCA" w:rsidP="00E57FCA">
      <w:pPr>
        <w:spacing w:after="0" w:line="240" w:lineRule="auto"/>
        <w:jc w:val="both"/>
        <w:rPr>
          <w:rFonts w:ascii="Times New Roman" w:hAnsi="Times New Roman" w:cs="Times New Roman"/>
          <w:sz w:val="24"/>
          <w:szCs w:val="24"/>
          <w:lang w:val="en-GB"/>
        </w:rPr>
      </w:pPr>
    </w:p>
    <w:p w14:paraId="1AADADC7" w14:textId="45D0D1DD" w:rsidR="00E57FCA" w:rsidRPr="00E57FCA" w:rsidRDefault="0027734E" w:rsidP="00E57FCA">
      <w:pPr>
        <w:spacing w:after="0" w:line="240" w:lineRule="auto"/>
        <w:jc w:val="both"/>
        <w:rPr>
          <w:rFonts w:ascii="Times New Roman" w:hAnsi="Times New Roman" w:cs="Times New Roman"/>
          <w:sz w:val="24"/>
          <w:szCs w:val="24"/>
        </w:rPr>
      </w:pPr>
      <w:r w:rsidRPr="001D013D">
        <w:rPr>
          <w:rFonts w:ascii="Times New Roman" w:hAnsi="Times New Roman"/>
          <w:sz w:val="24"/>
          <w:lang w:val="en-GB"/>
        </w:rPr>
        <w:tab/>
      </w:r>
      <w:r>
        <w:rPr>
          <w:rFonts w:ascii="Times New Roman" w:hAnsi="Times New Roman"/>
          <w:sz w:val="24"/>
        </w:rPr>
        <w:t>Gesehen, um Unserem Erlass vom 5. April 2011 beigefügt zu werden</w:t>
      </w:r>
    </w:p>
    <w:p w14:paraId="6D0313F1" w14:textId="77777777" w:rsidR="0027734E" w:rsidRDefault="0027734E" w:rsidP="00E57FCA">
      <w:pPr>
        <w:spacing w:after="0" w:line="240" w:lineRule="auto"/>
        <w:jc w:val="both"/>
        <w:rPr>
          <w:rFonts w:ascii="Times New Roman" w:hAnsi="Times New Roman" w:cs="Times New Roman"/>
          <w:sz w:val="24"/>
          <w:szCs w:val="24"/>
        </w:rPr>
      </w:pPr>
    </w:p>
    <w:p w14:paraId="4FEB4FFF" w14:textId="77777777" w:rsidR="0027734E" w:rsidRDefault="0027734E" w:rsidP="00E57FCA">
      <w:pPr>
        <w:spacing w:after="0" w:line="240" w:lineRule="auto"/>
        <w:jc w:val="both"/>
        <w:rPr>
          <w:rFonts w:ascii="Times New Roman" w:hAnsi="Times New Roman" w:cs="Times New Roman"/>
          <w:sz w:val="24"/>
          <w:szCs w:val="24"/>
        </w:rPr>
      </w:pPr>
    </w:p>
    <w:p w14:paraId="13F06B82" w14:textId="2A2105E1" w:rsidR="00E57FCA" w:rsidRDefault="00E57FCA" w:rsidP="0027734E">
      <w:pPr>
        <w:spacing w:after="0" w:line="240" w:lineRule="auto"/>
        <w:jc w:val="center"/>
        <w:rPr>
          <w:rFonts w:ascii="Times New Roman" w:hAnsi="Times New Roman" w:cs="Times New Roman"/>
          <w:sz w:val="24"/>
          <w:szCs w:val="24"/>
        </w:rPr>
      </w:pPr>
      <w:r>
        <w:rPr>
          <w:rFonts w:ascii="Times New Roman" w:hAnsi="Times New Roman"/>
          <w:sz w:val="24"/>
        </w:rPr>
        <w:t>ALBERT</w:t>
      </w:r>
    </w:p>
    <w:p w14:paraId="79A1A230" w14:textId="77777777" w:rsidR="0027734E" w:rsidRPr="00E57FCA" w:rsidRDefault="0027734E" w:rsidP="0027734E">
      <w:pPr>
        <w:spacing w:after="0" w:line="240" w:lineRule="auto"/>
        <w:jc w:val="center"/>
        <w:rPr>
          <w:rFonts w:ascii="Times New Roman" w:hAnsi="Times New Roman" w:cs="Times New Roman"/>
          <w:sz w:val="24"/>
          <w:szCs w:val="24"/>
        </w:rPr>
      </w:pPr>
    </w:p>
    <w:p w14:paraId="09592742" w14:textId="7E895EC5" w:rsidR="00E57FCA" w:rsidRDefault="00E57FCA" w:rsidP="0027734E">
      <w:pPr>
        <w:spacing w:after="0" w:line="240" w:lineRule="auto"/>
        <w:jc w:val="center"/>
        <w:rPr>
          <w:rFonts w:ascii="Times New Roman" w:hAnsi="Times New Roman" w:cs="Times New Roman"/>
          <w:sz w:val="24"/>
          <w:szCs w:val="24"/>
        </w:rPr>
      </w:pPr>
      <w:r>
        <w:rPr>
          <w:rFonts w:ascii="Times New Roman" w:hAnsi="Times New Roman"/>
          <w:sz w:val="24"/>
        </w:rPr>
        <w:t>Von Königs wegen:</w:t>
      </w:r>
    </w:p>
    <w:p w14:paraId="24D8B204" w14:textId="77777777" w:rsidR="0027734E" w:rsidRPr="00E57FCA" w:rsidRDefault="0027734E" w:rsidP="0027734E">
      <w:pPr>
        <w:spacing w:after="0" w:line="240" w:lineRule="auto"/>
        <w:jc w:val="center"/>
        <w:rPr>
          <w:rFonts w:ascii="Times New Roman" w:hAnsi="Times New Roman" w:cs="Times New Roman"/>
          <w:sz w:val="24"/>
          <w:szCs w:val="24"/>
        </w:rPr>
      </w:pPr>
    </w:p>
    <w:p w14:paraId="3C43B7F7" w14:textId="2EE37E97" w:rsidR="00E57FCA" w:rsidRPr="00E57FCA" w:rsidRDefault="00E57FCA" w:rsidP="0027734E">
      <w:pPr>
        <w:spacing w:after="0" w:line="240" w:lineRule="auto"/>
        <w:jc w:val="center"/>
        <w:rPr>
          <w:rFonts w:ascii="Times New Roman" w:hAnsi="Times New Roman" w:cs="Times New Roman"/>
          <w:sz w:val="24"/>
          <w:szCs w:val="24"/>
        </w:rPr>
      </w:pPr>
      <w:r>
        <w:rPr>
          <w:rFonts w:ascii="Times New Roman" w:hAnsi="Times New Roman"/>
          <w:sz w:val="24"/>
        </w:rPr>
        <w:t>Der Minister des Klimas und der Energie</w:t>
      </w:r>
    </w:p>
    <w:p w14:paraId="0CF53FEC" w14:textId="020FBB3C" w:rsidR="00E57FCA" w:rsidRPr="00E57FCA" w:rsidRDefault="00E57FCA" w:rsidP="0027734E">
      <w:pPr>
        <w:spacing w:after="0" w:line="240" w:lineRule="auto"/>
        <w:jc w:val="center"/>
        <w:rPr>
          <w:rFonts w:ascii="Times New Roman" w:hAnsi="Times New Roman" w:cs="Times New Roman"/>
          <w:sz w:val="24"/>
          <w:szCs w:val="24"/>
        </w:rPr>
      </w:pPr>
      <w:r>
        <w:rPr>
          <w:rFonts w:ascii="Times New Roman" w:hAnsi="Times New Roman"/>
          <w:sz w:val="24"/>
        </w:rPr>
        <w:t>P. MAGNETTE</w:t>
      </w:r>
    </w:p>
    <w:p w14:paraId="37A1F543" w14:textId="77777777" w:rsidR="00E57FCA" w:rsidRPr="00E57FCA" w:rsidRDefault="00E57FCA" w:rsidP="00E57FCA">
      <w:pPr>
        <w:spacing w:after="0" w:line="240" w:lineRule="auto"/>
        <w:jc w:val="both"/>
        <w:rPr>
          <w:rFonts w:ascii="Times New Roman" w:hAnsi="Times New Roman" w:cs="Times New Roman"/>
          <w:sz w:val="24"/>
          <w:szCs w:val="24"/>
        </w:rPr>
      </w:pPr>
    </w:p>
    <w:sectPr w:rsidR="00E57FCA" w:rsidRPr="00E57FCA" w:rsidSect="00037715">
      <w:pgSz w:w="11906" w:h="16838"/>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FCA"/>
    <w:rsid w:val="00037715"/>
    <w:rsid w:val="000C4D1C"/>
    <w:rsid w:val="0019598A"/>
    <w:rsid w:val="001D013D"/>
    <w:rsid w:val="00243DEE"/>
    <w:rsid w:val="0027734E"/>
    <w:rsid w:val="006E4D31"/>
    <w:rsid w:val="007F5ED6"/>
    <w:rsid w:val="00A65F43"/>
    <w:rsid w:val="00B33354"/>
    <w:rsid w:val="00B55902"/>
    <w:rsid w:val="00C877F6"/>
    <w:rsid w:val="00CB15CB"/>
    <w:rsid w:val="00DB2A36"/>
    <w:rsid w:val="00E57F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50E11"/>
  <w15:chartTrackingRefBased/>
  <w15:docId w15:val="{1E01FF95-58CF-449D-B5CF-07E13B969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A3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77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39CC1-4824-4557-95C0-1FE703D7A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2082</Words>
  <Characters>11457</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dc:creator>
  <cp:keywords/>
  <dc:description/>
  <cp:lastModifiedBy>NG</cp:lastModifiedBy>
  <cp:revision>5</cp:revision>
  <cp:lastPrinted>2024-02-05T13:05:00Z</cp:lastPrinted>
  <dcterms:created xsi:type="dcterms:W3CDTF">2024-07-08T12:01:00Z</dcterms:created>
  <dcterms:modified xsi:type="dcterms:W3CDTF">2024-07-11T12:35:00Z</dcterms:modified>
</cp:coreProperties>
</file>