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C7" w:rsidRPr="00C553FC" w:rsidRDefault="001D39C7" w:rsidP="001D39C7">
      <w:pPr>
        <w:jc w:val="both"/>
        <w:rPr>
          <w:lang w:val="de-DE"/>
        </w:rPr>
      </w:pPr>
      <w:r w:rsidRPr="00C553FC">
        <w:rPr>
          <w:b/>
          <w:bCs/>
          <w:lang w:val="de-DE"/>
        </w:rPr>
        <w:t>5. SEPTEMBER 1996 - König</w:t>
      </w:r>
      <w:bookmarkStart w:id="0" w:name="_GoBack"/>
      <w:bookmarkEnd w:id="0"/>
      <w:r w:rsidRPr="00C553FC">
        <w:rPr>
          <w:b/>
          <w:bCs/>
          <w:lang w:val="de-DE"/>
        </w:rPr>
        <w:t xml:space="preserve">licher </w:t>
      </w:r>
      <w:r>
        <w:rPr>
          <w:b/>
          <w:bCs/>
          <w:lang w:val="de-DE"/>
        </w:rPr>
        <w:t>Erlass</w:t>
      </w:r>
      <w:r w:rsidRPr="00C553FC">
        <w:rPr>
          <w:b/>
          <w:bCs/>
          <w:lang w:val="de-DE"/>
        </w:rPr>
        <w:t xml:space="preserve"> zur Abänderung des Königlichen Erlasses vom 12. Juni 1996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D39C7">
        <w:rPr>
          <w:lang w:val="de-DE"/>
        </w:rPr>
        <w:t>17. Mai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1D39C7" w:rsidRPr="00C553FC" w:rsidRDefault="001D39C7">
      <w:pPr>
        <w:jc w:val="center"/>
        <w:rPr>
          <w:b/>
          <w:bCs/>
          <w:lang w:val="de-DE"/>
        </w:rPr>
      </w:pPr>
      <w:r w:rsidRPr="00C553FC">
        <w:rPr>
          <w:b/>
          <w:bCs/>
          <w:lang w:val="de-DE"/>
        </w:rPr>
        <w:lastRenderedPageBreak/>
        <w:t>MINISTERIUM DES INNERN</w:t>
      </w:r>
    </w:p>
    <w:p w:rsidR="001D39C7" w:rsidRDefault="001D39C7">
      <w:pPr>
        <w:jc w:val="both"/>
        <w:rPr>
          <w:b/>
          <w:bCs/>
          <w:lang w:val="de-DE"/>
        </w:rPr>
      </w:pPr>
    </w:p>
    <w:p w:rsidR="001D39C7" w:rsidRPr="00C553FC" w:rsidRDefault="001D39C7">
      <w:pPr>
        <w:jc w:val="both"/>
        <w:rPr>
          <w:b/>
          <w:bCs/>
          <w:lang w:val="de-DE"/>
        </w:rPr>
      </w:pPr>
    </w:p>
    <w:p w:rsidR="001D39C7" w:rsidRPr="00C553FC" w:rsidRDefault="001D39C7">
      <w:pPr>
        <w:jc w:val="both"/>
        <w:rPr>
          <w:lang w:val="de-DE"/>
        </w:rPr>
      </w:pPr>
      <w:r w:rsidRPr="00C553FC">
        <w:rPr>
          <w:b/>
          <w:bCs/>
          <w:lang w:val="de-DE"/>
        </w:rPr>
        <w:t xml:space="preserve">5. SEPTEMBER 1996 - Königlicher </w:t>
      </w:r>
      <w:r>
        <w:rPr>
          <w:b/>
          <w:bCs/>
          <w:lang w:val="de-DE"/>
        </w:rPr>
        <w:t>Erlass</w:t>
      </w:r>
      <w:r w:rsidRPr="00C553FC">
        <w:rPr>
          <w:b/>
          <w:bCs/>
          <w:lang w:val="de-DE"/>
        </w:rPr>
        <w:t xml:space="preserve"> zur Abänderung des Königlichen Erlasses vom 12. Juni 1996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w:t>
      </w:r>
    </w:p>
    <w:p w:rsidR="001D39C7" w:rsidRPr="00C553FC" w:rsidRDefault="001D39C7">
      <w:pPr>
        <w:jc w:val="both"/>
        <w:rPr>
          <w:lang w:val="de-DE"/>
        </w:rPr>
      </w:pPr>
    </w:p>
    <w:p w:rsidR="001D39C7" w:rsidRDefault="001D39C7">
      <w:pPr>
        <w:ind w:firstLine="1440"/>
        <w:jc w:val="both"/>
        <w:rPr>
          <w:lang w:val="de-DE"/>
        </w:rPr>
      </w:pPr>
      <w:r w:rsidRPr="00C553FC">
        <w:rPr>
          <w:lang w:val="de-DE"/>
        </w:rPr>
        <w:t>ALBERT II., König der Belgier,</w:t>
      </w:r>
    </w:p>
    <w:p w:rsidR="001D39C7" w:rsidRPr="00C553FC" w:rsidRDefault="001D39C7">
      <w:pPr>
        <w:ind w:firstLine="1440"/>
        <w:jc w:val="both"/>
        <w:rPr>
          <w:lang w:val="de-DE"/>
        </w:rPr>
      </w:pPr>
    </w:p>
    <w:p w:rsidR="001D39C7" w:rsidRPr="00C553FC" w:rsidRDefault="001D39C7">
      <w:pPr>
        <w:ind w:firstLine="720"/>
        <w:jc w:val="both"/>
        <w:rPr>
          <w:lang w:val="de-DE"/>
        </w:rPr>
      </w:pPr>
      <w:r w:rsidRPr="00C553FC">
        <w:rPr>
          <w:lang w:val="de-DE"/>
        </w:rPr>
        <w:t xml:space="preserve">Allen Gegenwärtigen und </w:t>
      </w:r>
      <w:proofErr w:type="spellStart"/>
      <w:r w:rsidRPr="00C553FC">
        <w:rPr>
          <w:lang w:val="de-DE"/>
        </w:rPr>
        <w:t>Zukünftigen</w:t>
      </w:r>
      <w:proofErr w:type="spellEnd"/>
      <w:r w:rsidRPr="00C553FC">
        <w:rPr>
          <w:lang w:val="de-DE"/>
        </w:rPr>
        <w:t>, Unser Gruß!</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Aufgrund des Königlichen Erlasses vom 12. Juni 1996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 xml:space="preserve">In der Erwägung, </w:t>
      </w:r>
      <w:r>
        <w:rPr>
          <w:lang w:val="de-DE"/>
        </w:rPr>
        <w:t>dass</w:t>
      </w:r>
      <w:r w:rsidRPr="00C553FC">
        <w:rPr>
          <w:lang w:val="de-DE"/>
        </w:rPr>
        <w:t xml:space="preserve"> aus der Begründung dieses Erlasses hervorgeht, </w:t>
      </w:r>
      <w:r>
        <w:rPr>
          <w:lang w:val="de-DE"/>
        </w:rPr>
        <w:t>dass</w:t>
      </w:r>
      <w:r w:rsidRPr="00C553FC">
        <w:rPr>
          <w:lang w:val="de-DE"/>
        </w:rPr>
        <w:t xml:space="preserve"> Dritten, sofern sie hierfür die Notwendigkeit nachweisen, Informationen mitgeteilt werden können, die Erklärungen der Einwohner des Königreichs betreffen über:</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 das Bestehen eines Ehevertrags oder eines vermögensrechtlichen Vertrags, der zwischen Personen, die keinem ehelichen Güterstand unterliegen, abgeschlossen worden ist, einschließlich der Angabe des Notars, bei dem der Vertrag beurkundet und in Urschrift hinterlegt worden ist,</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 die Wahl einer Bestattungsart</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 und die Organtransplantation nach dem Tode;</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 xml:space="preserve">In der Erwägung, </w:t>
      </w:r>
      <w:r>
        <w:rPr>
          <w:lang w:val="de-DE"/>
        </w:rPr>
        <w:t>dass</w:t>
      </w:r>
      <w:r w:rsidRPr="00C553FC">
        <w:rPr>
          <w:lang w:val="de-DE"/>
        </w:rPr>
        <w:t xml:space="preserve"> Nr. 16, 22 oder 27, auf die in Artikel 2 des vorerwähnten Königlichen Erlasses vom 12. Juni 1996 verwiesen wird, in Wirklichkeit wie folgt zu lesen ist: </w:t>
      </w:r>
      <w:r>
        <w:rPr>
          <w:lang w:val="de-DE"/>
        </w:rPr>
        <w:t>"</w:t>
      </w:r>
      <w:r w:rsidRPr="00C553FC">
        <w:rPr>
          <w:lang w:val="de-DE"/>
        </w:rPr>
        <w:t>Nr. 10, was die Erklärung über das Bestehen eines Ehevertrags oder eines vermögensrechtlichen Vertrags betrifft, der zwischen Personen, die keinem ehelichen Güterstand unterliegen, abgeschlossen worden ist, einschließlich der Angabe des Notars, bei dem der Vertrag beurkundet und in Urschrift hinterlegt worden ist, Nr. 16 oder Nr. 22";</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 xml:space="preserve">Aufgrund der am 12. Januar 1973 koordinierten Gesetze über den Staatsrat, insbesondere des Artikels 3 </w:t>
      </w:r>
      <w:r>
        <w:rPr>
          <w:lang w:val="de-DE"/>
        </w:rPr>
        <w:t>§</w:t>
      </w:r>
      <w:r w:rsidRPr="00C553FC">
        <w:rPr>
          <w:lang w:val="de-DE"/>
        </w:rPr>
        <w:t> 1 Absatz 1, ersetzt durch das Gesetz vom 4. Juli 1989 und abgeändert durch das Gesetz vom 4. August 1996;</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Aufgrund der Dringlichkeit;</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 xml:space="preserve">In der Erwägung, </w:t>
      </w:r>
      <w:r>
        <w:rPr>
          <w:lang w:val="de-DE"/>
        </w:rPr>
        <w:t>dass</w:t>
      </w:r>
      <w:r w:rsidRPr="00C553FC">
        <w:rPr>
          <w:lang w:val="de-DE"/>
        </w:rPr>
        <w:t xml:space="preserve"> der vorerwähnte Königliche </w:t>
      </w:r>
      <w:r>
        <w:rPr>
          <w:lang w:val="de-DE"/>
        </w:rPr>
        <w:t>Erlass</w:t>
      </w:r>
      <w:r w:rsidRPr="00C553FC">
        <w:rPr>
          <w:lang w:val="de-DE"/>
        </w:rPr>
        <w:t xml:space="preserve"> vom 12. Juni 1996 im </w:t>
      </w:r>
      <w:r w:rsidRPr="00C553FC">
        <w:rPr>
          <w:i/>
          <w:iCs/>
          <w:lang w:val="de-DE"/>
        </w:rPr>
        <w:t>Belgischen Staatsblatt</w:t>
      </w:r>
      <w:r w:rsidRPr="00C553FC">
        <w:rPr>
          <w:lang w:val="de-DE"/>
        </w:rPr>
        <w:t xml:space="preserve"> vom 27. August 1996 veröffentlicht worden ist und </w:t>
      </w:r>
      <w:r>
        <w:rPr>
          <w:lang w:val="de-DE"/>
        </w:rPr>
        <w:t>dass</w:t>
      </w:r>
      <w:r w:rsidRPr="00C553FC">
        <w:rPr>
          <w:lang w:val="de-DE"/>
        </w:rPr>
        <w:t xml:space="preserve"> es deshalb unbedingt erforderlich ist, den Gemeinden so schnell wie möglich genaue Anweisungen zu erteilen in </w:t>
      </w:r>
      <w:r>
        <w:rPr>
          <w:lang w:val="de-DE"/>
        </w:rPr>
        <w:t>B</w:t>
      </w:r>
      <w:r w:rsidRPr="00C553FC">
        <w:rPr>
          <w:lang w:val="de-DE"/>
        </w:rPr>
        <w:t xml:space="preserve">ezug auf die Art der Informationen, die in den Bevölkerungsregistern angegeben sind und Dritten in Form von Auszügen aus diesen Registern oder von Bescheinigungen auf </w:t>
      </w:r>
      <w:r w:rsidRPr="00C553FC">
        <w:rPr>
          <w:lang w:val="de-DE"/>
        </w:rPr>
        <w:lastRenderedPageBreak/>
        <w:t>der Grundlage dieser Register mitgeteilt werden können, sofern sie hierfür die Notwendigkeit nachweisen;</w:t>
      </w: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Auf Vorschlag Unseres Ministers des Innern</w:t>
      </w:r>
    </w:p>
    <w:p w:rsidR="001D39C7" w:rsidRPr="00C553FC" w:rsidRDefault="001D39C7">
      <w:pPr>
        <w:jc w:val="both"/>
        <w:rPr>
          <w:lang w:val="de-DE"/>
        </w:rPr>
      </w:pPr>
    </w:p>
    <w:p w:rsidR="001D39C7" w:rsidRDefault="001D39C7" w:rsidP="001D39C7">
      <w:pPr>
        <w:jc w:val="center"/>
        <w:rPr>
          <w:lang w:val="de-DE"/>
        </w:rPr>
      </w:pPr>
      <w:r w:rsidRPr="00C553FC">
        <w:rPr>
          <w:lang w:val="de-DE"/>
        </w:rPr>
        <w:t>Haben Wir beschlossen und erlassen Wir:</w:t>
      </w:r>
    </w:p>
    <w:p w:rsidR="001D39C7" w:rsidRDefault="001D39C7" w:rsidP="001D39C7">
      <w:pPr>
        <w:jc w:val="center"/>
        <w:rPr>
          <w:lang w:val="de-DE"/>
        </w:rPr>
      </w:pPr>
    </w:p>
    <w:p w:rsidR="001D39C7" w:rsidRDefault="001D39C7" w:rsidP="001D39C7">
      <w:pPr>
        <w:jc w:val="center"/>
        <w:rPr>
          <w:lang w:val="de-DE"/>
        </w:rPr>
      </w:pPr>
    </w:p>
    <w:p w:rsidR="001D39C7" w:rsidRPr="00C553FC" w:rsidRDefault="001D39C7" w:rsidP="001D39C7">
      <w:pPr>
        <w:jc w:val="both"/>
        <w:rPr>
          <w:lang w:val="de-DE"/>
        </w:rPr>
      </w:pPr>
      <w:r w:rsidRPr="00C553FC">
        <w:rPr>
          <w:b/>
          <w:bCs/>
          <w:lang w:val="de-DE"/>
        </w:rPr>
        <w:t>Artikel 1</w:t>
      </w:r>
      <w:r w:rsidRPr="00C553FC">
        <w:rPr>
          <w:lang w:val="de-DE"/>
        </w:rPr>
        <w:t xml:space="preserve"> - In Artikel 2 des Königlichen Erlasses vom 12. Juni 1996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 werden die Wörter </w:t>
      </w:r>
      <w:r>
        <w:rPr>
          <w:lang w:val="de-DE"/>
        </w:rPr>
        <w:t>"</w:t>
      </w:r>
      <w:r w:rsidRPr="00C553FC">
        <w:rPr>
          <w:lang w:val="de-DE"/>
        </w:rPr>
        <w:t xml:space="preserve">Nr. 16, 22 oder 27" durch die Wörter </w:t>
      </w:r>
      <w:r>
        <w:rPr>
          <w:lang w:val="de-DE"/>
        </w:rPr>
        <w:t>"</w:t>
      </w:r>
      <w:r w:rsidRPr="00C553FC">
        <w:rPr>
          <w:lang w:val="de-DE"/>
        </w:rPr>
        <w:t>Nr. 10, was die Erklärung über das Bestehen eines Ehevertrags oder eines vermögensrechtlichen Vertrags betrifft, der zwischen Personen, die keinem ehelichen Güterstand unterliegen, abgeschlossen worden ist, einschließlich der Angabe des Notars, bei dem der Vertrag beurkundet und in Urschrift hinterlegt worden ist, Nr. 16 oder Nr. 22" ersetzt.</w:t>
      </w:r>
    </w:p>
    <w:p w:rsidR="001D39C7" w:rsidRDefault="001D39C7">
      <w:pPr>
        <w:jc w:val="both"/>
        <w:rPr>
          <w:lang w:val="de-DE"/>
        </w:rPr>
      </w:pPr>
    </w:p>
    <w:p w:rsidR="001D39C7" w:rsidRPr="00C553FC" w:rsidRDefault="001D39C7">
      <w:pPr>
        <w:jc w:val="both"/>
        <w:rPr>
          <w:lang w:val="de-DE"/>
        </w:rPr>
      </w:pPr>
    </w:p>
    <w:p w:rsidR="001D39C7" w:rsidRPr="00C553FC" w:rsidRDefault="001D39C7">
      <w:pPr>
        <w:ind w:firstLine="720"/>
        <w:jc w:val="both"/>
        <w:rPr>
          <w:lang w:val="de-DE"/>
        </w:rPr>
      </w:pPr>
      <w:r w:rsidRPr="00C553FC">
        <w:rPr>
          <w:b/>
          <w:bCs/>
          <w:lang w:val="de-DE"/>
        </w:rPr>
        <w:t>Art. 2</w:t>
      </w:r>
      <w:r w:rsidRPr="00C553FC">
        <w:rPr>
          <w:lang w:val="de-DE"/>
        </w:rPr>
        <w:t xml:space="preserve"> - Vorliegender </w:t>
      </w:r>
      <w:r>
        <w:rPr>
          <w:lang w:val="de-DE"/>
        </w:rPr>
        <w:t>Erlass</w:t>
      </w:r>
      <w:r w:rsidRPr="00C553FC">
        <w:rPr>
          <w:lang w:val="de-DE"/>
        </w:rPr>
        <w:t xml:space="preserve"> tritt am Tag seiner Veröffentlichung im </w:t>
      </w:r>
      <w:r w:rsidRPr="00C553FC">
        <w:rPr>
          <w:i/>
          <w:iCs/>
          <w:lang w:val="de-DE"/>
        </w:rPr>
        <w:t>Belgischen Staatsblatt</w:t>
      </w:r>
      <w:r w:rsidRPr="00C553FC">
        <w:rPr>
          <w:lang w:val="de-DE"/>
        </w:rPr>
        <w:t xml:space="preserve"> in Kraft.</w:t>
      </w:r>
    </w:p>
    <w:p w:rsidR="001D39C7" w:rsidRDefault="001D39C7">
      <w:pPr>
        <w:jc w:val="both"/>
        <w:rPr>
          <w:lang w:val="de-DE"/>
        </w:rPr>
      </w:pPr>
    </w:p>
    <w:p w:rsidR="001D39C7" w:rsidRPr="00C553FC" w:rsidRDefault="001D39C7">
      <w:pPr>
        <w:jc w:val="both"/>
        <w:rPr>
          <w:lang w:val="de-DE"/>
        </w:rPr>
      </w:pPr>
    </w:p>
    <w:p w:rsidR="001D39C7" w:rsidRPr="00C553FC" w:rsidRDefault="001D39C7">
      <w:pPr>
        <w:ind w:firstLine="720"/>
        <w:jc w:val="both"/>
        <w:rPr>
          <w:lang w:val="de-DE"/>
        </w:rPr>
      </w:pPr>
      <w:r w:rsidRPr="00C553FC">
        <w:rPr>
          <w:b/>
          <w:bCs/>
          <w:lang w:val="de-DE"/>
        </w:rPr>
        <w:t>Art. 3</w:t>
      </w:r>
      <w:r w:rsidRPr="00C553FC">
        <w:rPr>
          <w:lang w:val="de-DE"/>
        </w:rPr>
        <w:t xml:space="preserve"> - Unser Minister des Innern ist mit der Ausführung des vorliegenden Erlasses beauftragt.</w:t>
      </w:r>
    </w:p>
    <w:p w:rsidR="001D39C7" w:rsidRDefault="001D39C7">
      <w:pPr>
        <w:jc w:val="both"/>
        <w:rPr>
          <w:lang w:val="de-DE"/>
        </w:rPr>
      </w:pPr>
    </w:p>
    <w:p w:rsidR="001D39C7" w:rsidRPr="00C553FC" w:rsidRDefault="001D39C7">
      <w:pPr>
        <w:jc w:val="both"/>
        <w:rPr>
          <w:lang w:val="de-DE"/>
        </w:rPr>
      </w:pPr>
    </w:p>
    <w:p w:rsidR="001D39C7" w:rsidRPr="00C553FC" w:rsidRDefault="001D39C7">
      <w:pPr>
        <w:ind w:firstLine="720"/>
        <w:jc w:val="both"/>
        <w:rPr>
          <w:lang w:val="de-DE"/>
        </w:rPr>
      </w:pPr>
      <w:r w:rsidRPr="00C553FC">
        <w:rPr>
          <w:lang w:val="de-DE"/>
        </w:rPr>
        <w:t>Gegeben zu Brüssel, den 5. September 1996</w:t>
      </w:r>
    </w:p>
    <w:p w:rsidR="001D39C7" w:rsidRPr="00C553FC" w:rsidRDefault="001D39C7">
      <w:pPr>
        <w:jc w:val="both"/>
        <w:rPr>
          <w:lang w:val="de-DE"/>
        </w:rPr>
      </w:pPr>
    </w:p>
    <w:p w:rsidR="001D39C7" w:rsidRPr="00C553FC" w:rsidRDefault="001D39C7">
      <w:pPr>
        <w:jc w:val="center"/>
        <w:rPr>
          <w:lang w:val="de-DE"/>
        </w:rPr>
      </w:pPr>
      <w:r w:rsidRPr="00C553FC">
        <w:rPr>
          <w:lang w:val="de-DE"/>
        </w:rPr>
        <w:t>ALBERT</w:t>
      </w:r>
    </w:p>
    <w:p w:rsidR="001D39C7" w:rsidRPr="00C553FC" w:rsidRDefault="001D39C7">
      <w:pPr>
        <w:jc w:val="center"/>
        <w:rPr>
          <w:lang w:val="de-DE"/>
        </w:rPr>
      </w:pPr>
    </w:p>
    <w:p w:rsidR="001D39C7" w:rsidRPr="00C553FC" w:rsidRDefault="001D39C7">
      <w:pPr>
        <w:jc w:val="center"/>
        <w:rPr>
          <w:lang w:val="de-DE"/>
        </w:rPr>
      </w:pPr>
      <w:r w:rsidRPr="00C553FC">
        <w:rPr>
          <w:lang w:val="de-DE"/>
        </w:rPr>
        <w:t>Von Königs wegen:</w:t>
      </w:r>
    </w:p>
    <w:p w:rsidR="001D39C7" w:rsidRPr="00C553FC" w:rsidRDefault="001D39C7">
      <w:pPr>
        <w:jc w:val="center"/>
        <w:rPr>
          <w:lang w:val="de-DE"/>
        </w:rPr>
      </w:pPr>
    </w:p>
    <w:p w:rsidR="001D39C7" w:rsidRPr="00C553FC" w:rsidRDefault="001D39C7">
      <w:pPr>
        <w:jc w:val="center"/>
        <w:rPr>
          <w:lang w:val="de-DE"/>
        </w:rPr>
      </w:pPr>
      <w:r w:rsidRPr="00C553FC">
        <w:rPr>
          <w:lang w:val="de-DE"/>
        </w:rPr>
        <w:t>Der Minister des Innern</w:t>
      </w:r>
    </w:p>
    <w:p w:rsidR="001D39C7" w:rsidRPr="00C553FC" w:rsidRDefault="001D39C7">
      <w:pPr>
        <w:jc w:val="center"/>
        <w:rPr>
          <w:lang w:val="de-DE"/>
        </w:rPr>
      </w:pPr>
      <w:r w:rsidRPr="00C553FC">
        <w:rPr>
          <w:lang w:val="de-DE"/>
        </w:rPr>
        <w:t>J. VANDE LANOTTE</w:t>
      </w:r>
    </w:p>
    <w:p w:rsidR="001D39C7" w:rsidRPr="00C553FC" w:rsidRDefault="001D39C7">
      <w:pPr>
        <w:jc w:val="both"/>
        <w:rPr>
          <w:lang w:val="de-DE"/>
        </w:rPr>
      </w:pPr>
    </w:p>
    <w:sectPr w:rsidR="001D39C7" w:rsidRPr="00C553FC"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39C7"/>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D39C7"/>
    <w:rPr>
      <w:rFonts w:ascii="Tahoma" w:hAnsi="Tahoma" w:cs="Tahoma"/>
      <w:sz w:val="16"/>
      <w:szCs w:val="16"/>
    </w:rPr>
  </w:style>
  <w:style w:type="character" w:customStyle="1" w:styleId="TextedebullesCar">
    <w:name w:val="Texte de bulles Car"/>
    <w:basedOn w:val="Policepardfaut"/>
    <w:link w:val="Textedebulles"/>
    <w:uiPriority w:val="99"/>
    <w:semiHidden/>
    <w:rsid w:val="001D39C7"/>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D39C7"/>
    <w:rPr>
      <w:rFonts w:ascii="Tahoma" w:hAnsi="Tahoma" w:cs="Tahoma"/>
      <w:sz w:val="16"/>
      <w:szCs w:val="16"/>
    </w:rPr>
  </w:style>
  <w:style w:type="character" w:customStyle="1" w:styleId="TextedebullesCar">
    <w:name w:val="Texte de bulles Car"/>
    <w:basedOn w:val="Policepardfaut"/>
    <w:link w:val="Textedebulles"/>
    <w:uiPriority w:val="99"/>
    <w:semiHidden/>
    <w:rsid w:val="001D39C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3770</Characters>
  <Application>Microsoft Office Word</Application>
  <DocSecurity>4</DocSecurity>
  <Lines>31</Lines>
  <Paragraphs>8</Paragraphs>
  <ScaleCrop>false</ScaleCrop>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2013-06-13T09:56:00Z</cp:lastPrinted>
  <dcterms:created xsi:type="dcterms:W3CDTF">2013-06-13T09:56:00Z</dcterms:created>
  <dcterms:modified xsi:type="dcterms:W3CDTF">2013-06-13T09:56:00Z</dcterms:modified>
</cp:coreProperties>
</file>