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CE7" w:rsidRDefault="00426C15" w:rsidP="00426C15">
      <w:pPr>
        <w:jc w:val="center"/>
        <w:rPr>
          <w:rFonts w:cs="Times New Roman"/>
          <w:b/>
          <w:bCs/>
          <w:lang w:val="de-DE"/>
        </w:rPr>
      </w:pPr>
      <w:r>
        <w:rPr>
          <w:rFonts w:cs="Times New Roman"/>
          <w:b/>
          <w:bCs/>
          <w:lang w:val="de-DE"/>
        </w:rPr>
        <w:t xml:space="preserve">28. MAI 1956 - Gesetz über </w:t>
      </w:r>
      <w:proofErr w:type="spellStart"/>
      <w:r>
        <w:rPr>
          <w:rFonts w:cs="Times New Roman"/>
          <w:b/>
          <w:bCs/>
          <w:lang w:val="de-DE"/>
        </w:rPr>
        <w:t>explosions</w:t>
      </w:r>
      <w:proofErr w:type="spellEnd"/>
      <w:r>
        <w:rPr>
          <w:rFonts w:cs="Times New Roman"/>
          <w:b/>
          <w:bCs/>
          <w:lang w:val="de-DE"/>
        </w:rPr>
        <w:noBreakHyphen/>
        <w:t xml:space="preserve"> und zü</w:t>
      </w:r>
      <w:bookmarkStart w:id="0" w:name="_GoBack"/>
      <w:bookmarkEnd w:id="0"/>
      <w:r>
        <w:rPr>
          <w:rFonts w:cs="Times New Roman"/>
          <w:b/>
          <w:bCs/>
          <w:lang w:val="de-DE"/>
        </w:rPr>
        <w:t xml:space="preserve">ndfähige Stoffe und Gemische </w:t>
      </w:r>
    </w:p>
    <w:p w:rsidR="00426C15" w:rsidRDefault="00426C15" w:rsidP="00426C15">
      <w:pPr>
        <w:jc w:val="center"/>
        <w:rPr>
          <w:rFonts w:cs="Times New Roman"/>
          <w:lang w:val="de-DE"/>
        </w:rPr>
      </w:pPr>
      <w:r>
        <w:rPr>
          <w:rFonts w:cs="Times New Roman"/>
          <w:b/>
          <w:bCs/>
          <w:lang w:val="de-DE"/>
        </w:rPr>
        <w:t>und damit geladene Geräte</w:t>
      </w:r>
    </w:p>
    <w:p w:rsidR="00426C15" w:rsidRDefault="00426C15">
      <w:pPr>
        <w:jc w:val="both"/>
        <w:rPr>
          <w:rFonts w:cs="Times New Roman"/>
          <w:lang w:val="de-DE"/>
        </w:rPr>
      </w:pPr>
    </w:p>
    <w:p w:rsidR="00426C15" w:rsidRPr="00EE0CE7" w:rsidRDefault="00426C15">
      <w:pPr>
        <w:jc w:val="both"/>
        <w:rPr>
          <w:rFonts w:cs="Times New Roman"/>
          <w:iCs/>
          <w:lang w:val="de-DE"/>
        </w:rPr>
      </w:pPr>
    </w:p>
    <w:p w:rsidR="00426C15" w:rsidRDefault="00426C15">
      <w:pPr>
        <w:jc w:val="center"/>
        <w:rPr>
          <w:rFonts w:cs="Times New Roman"/>
          <w:lang w:val="de-DE"/>
        </w:rPr>
      </w:pPr>
      <w:r w:rsidRPr="00426C15">
        <w:rPr>
          <w:rFonts w:cs="Times New Roman"/>
          <w:iCs/>
          <w:lang w:val="de-DE"/>
        </w:rPr>
        <w:t>(</w:t>
      </w:r>
      <w:r>
        <w:rPr>
          <w:rFonts w:cs="Times New Roman"/>
          <w:i/>
          <w:iCs/>
          <w:lang w:val="de-DE"/>
        </w:rPr>
        <w:t xml:space="preserve">Belgisches Staatsblatt </w:t>
      </w:r>
      <w:r w:rsidRPr="00426C15">
        <w:rPr>
          <w:rFonts w:cs="Times New Roman"/>
          <w:iCs/>
          <w:lang w:val="de-DE"/>
        </w:rPr>
        <w:t>vom 10. Februar 2001)</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tabs>
          <w:tab w:val="center" w:pos="4512"/>
        </w:tabs>
        <w:jc w:val="both"/>
        <w:rPr>
          <w:rFonts w:cs="Times New Roman"/>
          <w:lang w:val="de-DE"/>
        </w:rPr>
      </w:pPr>
      <w:r>
        <w:rPr>
          <w:rFonts w:cs="Times New Roman"/>
          <w:lang w:val="de-DE"/>
        </w:rPr>
        <w:tab/>
        <w:t>Konsolidierung</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jc w:val="both"/>
        <w:rPr>
          <w:rFonts w:cs="Times New Roman"/>
          <w:b/>
          <w:bCs/>
          <w:lang w:val="de-DE"/>
        </w:rPr>
      </w:pPr>
      <w:r>
        <w:rPr>
          <w:rFonts w:cs="Times New Roman"/>
          <w:i/>
          <w:iCs/>
          <w:lang w:val="de-DE"/>
        </w:rPr>
        <w:t>Die vorliegende Konsolidierung enthält die Abänderungen, die vorgenommen worden sind durch:</w:t>
      </w:r>
    </w:p>
    <w:p w:rsidR="00426C15" w:rsidRDefault="00426C15">
      <w:pPr>
        <w:jc w:val="both"/>
        <w:rPr>
          <w:rFonts w:cs="Times New Roman"/>
          <w:b/>
          <w:bCs/>
          <w:lang w:val="de-DE"/>
        </w:rPr>
      </w:pPr>
    </w:p>
    <w:p w:rsidR="00426C15" w:rsidRDefault="00426C15">
      <w:pPr>
        <w:jc w:val="both"/>
        <w:rPr>
          <w:rFonts w:cs="Times New Roman"/>
          <w:lang w:val="de-DE"/>
        </w:rPr>
      </w:pPr>
      <w:r>
        <w:rPr>
          <w:rFonts w:cs="Times New Roman"/>
          <w:lang w:val="de-DE"/>
        </w:rPr>
        <w:t xml:space="preserve">Artikel 118 des Gesetzes vom 23. Januar 2003 zur Anpassung der gültigen Gesetzesbestimmungen an das Gesetz vom 10. Juli 1996 zur Aufhebung der Todesstrafe und zur Abänderung der Kriminalstrafe </w:t>
      </w:r>
      <w:r w:rsidRPr="00426C15">
        <w:rPr>
          <w:rFonts w:cs="Times New Roman"/>
          <w:iCs/>
          <w:lang w:val="de-DE"/>
        </w:rPr>
        <w:t>(</w:t>
      </w:r>
      <w:r>
        <w:rPr>
          <w:rFonts w:cs="Times New Roman"/>
          <w:i/>
          <w:iCs/>
          <w:lang w:val="de-DE"/>
        </w:rPr>
        <w:t xml:space="preserve">Belgisches Staatsblatt </w:t>
      </w:r>
      <w:r w:rsidRPr="00426C15">
        <w:rPr>
          <w:rFonts w:cs="Times New Roman"/>
          <w:iCs/>
          <w:lang w:val="de-DE"/>
        </w:rPr>
        <w:t>vom 28. Januar 2004)</w:t>
      </w:r>
      <w:r w:rsidRPr="00426C15">
        <w:rPr>
          <w:rFonts w:cs="Times New Roman"/>
          <w:lang w:val="de-DE"/>
        </w:rPr>
        <w:t>.</w:t>
      </w:r>
    </w:p>
    <w:p w:rsidR="00426C15" w:rsidRDefault="00426C15">
      <w:pPr>
        <w:jc w:val="both"/>
        <w:rPr>
          <w:rFonts w:cs="Times New Roman"/>
          <w:b/>
          <w:bCs/>
          <w:lang w:val="de-DE"/>
        </w:rPr>
      </w:pPr>
    </w:p>
    <w:p w:rsidR="00426C15" w:rsidRDefault="00426C15">
      <w:pPr>
        <w:jc w:val="both"/>
        <w:rPr>
          <w:rFonts w:cs="Times New Roman"/>
          <w:b/>
          <w:bCs/>
          <w:lang w:val="de-DE"/>
        </w:rPr>
      </w:pPr>
      <w:r>
        <w:rPr>
          <w:rFonts w:cs="Times New Roman"/>
          <w:lang w:val="de-DE"/>
        </w:rPr>
        <w:t>Diese Konsolidierung ist von der Zentralen Dienststelle für Deutsche Übersetzungen in Malmedy erstellt worden.</w:t>
      </w:r>
    </w:p>
    <w:p w:rsidR="00426C15" w:rsidRDefault="00426C15">
      <w:pPr>
        <w:jc w:val="both"/>
        <w:rPr>
          <w:rFonts w:cs="Times New Roman"/>
          <w:b/>
          <w:bCs/>
          <w:lang w:val="de-DE"/>
        </w:rPr>
      </w:pPr>
    </w:p>
    <w:p w:rsidR="00426C15" w:rsidRDefault="00426C15">
      <w:pPr>
        <w:jc w:val="both"/>
        <w:rPr>
          <w:rFonts w:cs="Times New Roman"/>
          <w:b/>
          <w:bCs/>
          <w:lang w:val="de-DE"/>
        </w:rPr>
      </w:pPr>
    </w:p>
    <w:p w:rsidR="00426C15" w:rsidRDefault="00426C15">
      <w:pPr>
        <w:jc w:val="both"/>
        <w:rPr>
          <w:rFonts w:cs="Times New Roman"/>
          <w:b/>
          <w:bCs/>
          <w:lang w:val="de-DE"/>
        </w:rPr>
        <w:sectPr w:rsidR="00426C15" w:rsidSect="00426C15">
          <w:pgSz w:w="11906" w:h="16838" w:code="9"/>
          <w:pgMar w:top="1418" w:right="1418" w:bottom="1418" w:left="1418" w:header="709" w:footer="709" w:gutter="0"/>
          <w:cols w:space="708"/>
          <w:vAlign w:val="center"/>
          <w:docGrid w:linePitch="360"/>
        </w:sectPr>
      </w:pPr>
    </w:p>
    <w:p w:rsidR="00426C15" w:rsidRDefault="00426C15" w:rsidP="00426C15">
      <w:pPr>
        <w:jc w:val="center"/>
        <w:rPr>
          <w:rFonts w:cs="Times New Roman"/>
          <w:b/>
          <w:bCs/>
          <w:lang w:val="de-DE"/>
        </w:rPr>
      </w:pPr>
      <w:r w:rsidRPr="00426C15">
        <w:rPr>
          <w:rFonts w:cs="Times New Roman"/>
          <w:b/>
          <w:bCs/>
          <w:lang w:val="de-DE"/>
        </w:rPr>
        <w:lastRenderedPageBreak/>
        <w:t>MINISTERIUM DER WIRTSCHAFTSANGELEGENHEITEN</w:t>
      </w:r>
    </w:p>
    <w:p w:rsidR="00426C15" w:rsidRDefault="00426C15" w:rsidP="00426C15">
      <w:pPr>
        <w:jc w:val="center"/>
        <w:rPr>
          <w:rFonts w:cs="Times New Roman"/>
          <w:b/>
          <w:bCs/>
          <w:lang w:val="de-DE"/>
        </w:rPr>
      </w:pPr>
    </w:p>
    <w:p w:rsidR="00426C15" w:rsidRDefault="00426C15" w:rsidP="00426C15">
      <w:pPr>
        <w:jc w:val="center"/>
        <w:rPr>
          <w:rFonts w:cs="Times New Roman"/>
          <w:b/>
          <w:bCs/>
          <w:lang w:val="de-DE"/>
        </w:rPr>
      </w:pPr>
    </w:p>
    <w:p w:rsidR="00EE0CE7" w:rsidRDefault="00426C15" w:rsidP="00426C15">
      <w:pPr>
        <w:jc w:val="center"/>
        <w:rPr>
          <w:rFonts w:cs="Times New Roman"/>
          <w:b/>
          <w:bCs/>
          <w:lang w:val="de-DE"/>
        </w:rPr>
      </w:pPr>
      <w:r>
        <w:rPr>
          <w:rFonts w:cs="Times New Roman"/>
          <w:b/>
          <w:bCs/>
          <w:lang w:val="de-DE"/>
        </w:rPr>
        <w:t xml:space="preserve">28. MAI 1956 - Gesetz über </w:t>
      </w:r>
      <w:proofErr w:type="spellStart"/>
      <w:r>
        <w:rPr>
          <w:rFonts w:cs="Times New Roman"/>
          <w:b/>
          <w:bCs/>
          <w:lang w:val="de-DE"/>
        </w:rPr>
        <w:t>explosions</w:t>
      </w:r>
      <w:proofErr w:type="spellEnd"/>
      <w:r>
        <w:rPr>
          <w:rFonts w:cs="Times New Roman"/>
          <w:b/>
          <w:bCs/>
          <w:lang w:val="de-DE"/>
        </w:rPr>
        <w:noBreakHyphen/>
        <w:t xml:space="preserve"> und zündfähige Stoffe und Gemische </w:t>
      </w:r>
    </w:p>
    <w:p w:rsidR="00426C15" w:rsidRDefault="00426C15" w:rsidP="00426C15">
      <w:pPr>
        <w:jc w:val="center"/>
        <w:rPr>
          <w:rFonts w:cs="Times New Roman"/>
          <w:lang w:val="de-DE"/>
        </w:rPr>
      </w:pPr>
      <w:r>
        <w:rPr>
          <w:rFonts w:cs="Times New Roman"/>
          <w:b/>
          <w:bCs/>
          <w:lang w:val="de-DE"/>
        </w:rPr>
        <w:t>und damit geladene Geräte</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Artikel 1</w:t>
      </w:r>
      <w:r>
        <w:rPr>
          <w:rFonts w:cs="Times New Roman"/>
          <w:lang w:val="de-DE"/>
        </w:rPr>
        <w:t xml:space="preserve"> -</w:t>
      </w:r>
      <w:r>
        <w:rPr>
          <w:rFonts w:cs="Times New Roman"/>
          <w:b/>
          <w:bCs/>
          <w:lang w:val="de-DE"/>
        </w:rPr>
        <w:t xml:space="preserve"> </w:t>
      </w:r>
      <w:r>
        <w:rPr>
          <w:rFonts w:cs="Times New Roman"/>
          <w:lang w:val="de-DE"/>
        </w:rPr>
        <w:t>Im Interesse der öffentlichen Sicherheit regelt der König die Herstellung, die Lagerung, das Anbieten zum Kauf, den Verkauf, die Abtretung, die Beförderung, den Gebrauch, den Besitz und das Mitführen explosions- oder zündfähiger Stoffe und Gemische und mit solchen Stoffen und Gemischen geladener Geräte und kann sie einer Erlaubnis unterwerfen.</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Die zur Erteilung einer Erlaubnis befugte Behörde kann diese jederzeit wieder entziehen.</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2 -</w:t>
      </w:r>
      <w:r>
        <w:rPr>
          <w:rFonts w:cs="Times New Roman"/>
          <w:lang w:val="de-DE"/>
        </w:rPr>
        <w:t xml:space="preserve"> Neben den Gerichtspolizeioffizieren sind die Beamten des Sprengstoffdienstes und die dem Bergbaukorps angehörenden Ingenieure befugt, Verstöße gegen die Verordnungen und die in Artikel 1 vorgesehene Erlaubnis zu ermitteln und mittels Protokollen, die bis zum Beweis des Gegenteils Beweiskraft haben, festzustellen.</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Der König kann anderen Beamten und Bediensteten das Recht erteilen, diese Verstöße zu ermitteln und mittels Protokollen, die bis zum Beweis des Gegenteils Beweiskraft haben, festzustellen.</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 xml:space="preserve">Art. 3 </w:t>
      </w:r>
      <w:r>
        <w:rPr>
          <w:rFonts w:cs="Times New Roman"/>
          <w:lang w:val="de-DE"/>
        </w:rPr>
        <w:t>- Die Beamten und Bediensteten, denen die im voranstehenden Artikel beschriebene Befugnis übertragen worden ist und die den durch das Dekret vom 20. Juli 1831 vorgeschriebenen Eid noch nicht geleistet haben sollten, müssen diesen vor einem der Friedensrichter des Bezirks ihres Amtssitzes ablegen.</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4</w:t>
      </w:r>
      <w:r>
        <w:rPr>
          <w:rFonts w:cs="Times New Roman"/>
          <w:lang w:val="de-DE"/>
        </w:rPr>
        <w:t xml:space="preserve"> - Die in Artikel 2 erwähnten Offiziere, Beamten und Bediensteten dürfen die Orte, an denen die in Artikel 1 erwähnten Stoffe, Gemische und Geräte verkauft werden, während der gesamten Zeit, in der diese der Öffentlichkeit zugänglich sind, besichtigen.</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Der Öffentlichkeit nicht zugängliche Orte, die für die Herstellung oder die Lagerung dieser Stoffe, Gemische oder Geräte bestimmt sind, dürfen, sofern dort nachts nicht gearbeitet wird, zwischen Sonnenaufgang und Sonnenuntergang und, sofern dort nachts gearbeitet wird, jederzeit besichtigt werden. Jedoch dürfen die vom König in Ausführung von Artikel 2 Absatz 2 bestimmten Beamten und Bediensteten diese Orte nur in Begleitung entweder eines Mitglieds des Schöffenkollegiums oder des Polizeikommissars betreten.</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5</w:t>
      </w:r>
      <w:r>
        <w:rPr>
          <w:rFonts w:cs="Times New Roman"/>
          <w:lang w:val="de-DE"/>
        </w:rPr>
        <w:t xml:space="preserve"> - Verstöße gegen die aufgrund von Artikel 1 ergangenen Bestimmungen werden mit einer Gefängnisstrafe von fünfzehn Tagen bis zwei Jahren und einer Geldstrafe von hundert [</w:t>
      </w:r>
      <w:r w:rsidR="00EE0CE7">
        <w:rPr>
          <w:rFonts w:cs="Times New Roman"/>
          <w:lang w:val="de-DE"/>
        </w:rPr>
        <w:t>EUR</w:t>
      </w:r>
      <w:r>
        <w:rPr>
          <w:rFonts w:cs="Times New Roman"/>
          <w:lang w:val="de-DE"/>
        </w:rPr>
        <w:t>] bis tausend [</w:t>
      </w:r>
      <w:r w:rsidR="00EE0CE7">
        <w:rPr>
          <w:rFonts w:cs="Times New Roman"/>
          <w:lang w:val="de-DE"/>
        </w:rPr>
        <w:t>EUR</w:t>
      </w:r>
      <w:r>
        <w:rPr>
          <w:rFonts w:cs="Times New Roman"/>
          <w:lang w:val="de-DE"/>
        </w:rPr>
        <w:t>] oder mit nur einer dieser Strafen geahndet.</w:t>
      </w:r>
    </w:p>
    <w:p w:rsidR="00426C15" w:rsidRDefault="00426C15">
      <w:pPr>
        <w:jc w:val="both"/>
        <w:rPr>
          <w:rFonts w:cs="Times New Roman"/>
          <w:lang w:val="de-DE"/>
        </w:rPr>
      </w:pPr>
    </w:p>
    <w:p w:rsidR="00426C15" w:rsidRDefault="00426C15">
      <w:pPr>
        <w:jc w:val="both"/>
        <w:rPr>
          <w:rFonts w:cs="Times New Roman"/>
          <w:lang w:val="de-DE"/>
        </w:rPr>
      </w:pPr>
      <w:r>
        <w:rPr>
          <w:rFonts w:cs="Times New Roman"/>
          <w:i/>
          <w:iCs/>
          <w:lang w:val="de-DE"/>
        </w:rPr>
        <w:t>[Art. 5 abgeändert durch Art. 2 des G. vom 26. Juni 2000 (B.S. vom 29. Juli 2000)]</w:t>
      </w:r>
    </w:p>
    <w:p w:rsidR="00426C15" w:rsidRDefault="00426C15">
      <w:pPr>
        <w:jc w:val="both"/>
        <w:rPr>
          <w:rFonts w:cs="Times New Roman"/>
          <w:lang w:val="de-DE"/>
        </w:rPr>
        <w:sectPr w:rsidR="00426C15">
          <w:pgSz w:w="11905" w:h="16837"/>
          <w:pgMar w:top="1440" w:right="1440" w:bottom="1440" w:left="1440" w:header="1440" w:footer="1440" w:gutter="0"/>
          <w:cols w:space="720"/>
          <w:noEndnote/>
        </w:sectPr>
      </w:pPr>
    </w:p>
    <w:p w:rsidR="00426C15" w:rsidRDefault="00426C15">
      <w:pPr>
        <w:ind w:firstLine="720"/>
        <w:jc w:val="both"/>
        <w:rPr>
          <w:rFonts w:cs="Times New Roman"/>
          <w:lang w:val="de-DE"/>
        </w:rPr>
      </w:pPr>
      <w:r>
        <w:rPr>
          <w:rFonts w:cs="Times New Roman"/>
          <w:b/>
          <w:bCs/>
          <w:lang w:val="de-DE"/>
        </w:rPr>
        <w:lastRenderedPageBreak/>
        <w:t>Art. 6</w:t>
      </w:r>
      <w:r>
        <w:rPr>
          <w:rFonts w:cs="Times New Roman"/>
          <w:lang w:val="de-DE"/>
        </w:rPr>
        <w:t xml:space="preserve"> - Lag der Herstellung, der Lagerung, dem Anbieten zum Kauf, dem Verkauf, der Abtretung, der Beförderung, dem Gebrauch, dem Besitz oder dem Mitführen der in Artikel 1 erwähnten Stoffe, Gemische und Geräte die Absicht zugrunde, ein gegen Personen oder Besitztümer gerichtetes Verbrechen zu begehen oder sich an dessen Ausführung zu beteiligen, wird der Schuldige mit [Einschließung von fünf Jahren bis zehn Jahren] und einer Geldstrafe von hundert [EUR] bis viertausend [EUR] bestraft.</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Lag ihnen die Absicht zugrunde, ein Vergehen zu begehen oder sich an dessen Ausführung zu beteiligen, wird der Schuldige mit einer Gefängnisstrafe von einem Monat bis drei Jahren und einer Geldstrafe von hundert [EUR] bis zweitausend [EUR] oder mit nur einer dieser Strafen bestraft.</w:t>
      </w:r>
    </w:p>
    <w:p w:rsidR="00426C15" w:rsidRDefault="00426C15">
      <w:pPr>
        <w:jc w:val="both"/>
        <w:rPr>
          <w:rFonts w:cs="Times New Roman"/>
          <w:lang w:val="de-DE"/>
        </w:rPr>
      </w:pPr>
    </w:p>
    <w:p w:rsidR="00426C15" w:rsidRDefault="00426C15">
      <w:pPr>
        <w:jc w:val="both"/>
        <w:rPr>
          <w:rFonts w:cs="Times New Roman"/>
          <w:lang w:val="de-DE"/>
        </w:rPr>
      </w:pPr>
      <w:r>
        <w:rPr>
          <w:rFonts w:cs="Times New Roman"/>
          <w:i/>
          <w:iCs/>
          <w:lang w:val="de-DE"/>
        </w:rPr>
        <w:t>[Art. 6 Abs. 1 abgeändert durch Art. 2 des G. vom 26. Juni 2000 (B.S. vom 29. Juli 2000) und Art. 118 des G. vom 23. Januar 2003 (B.S. vom 13. März 2003); Abs. 2 abgeändert durch Art. 2 des G. vom 26. Juni 2000 (B.S. vom 29. Juli 2000)]</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7</w:t>
      </w:r>
      <w:r>
        <w:rPr>
          <w:rFonts w:cs="Times New Roman"/>
          <w:lang w:val="de-DE"/>
        </w:rPr>
        <w:t xml:space="preserve"> - Hatte das Fehlen einer Erlaubnis oder die Missachtung der Vorschriften der Verwaltungsverordnung Körperverletzungen oder den Tod einer Person zur Folge, wird der Schuldige im ersten Fall mit einer Gefängnisstrafe von einem Monat bis zwei Jahren und einer Geldstrafe von sechsundzwanzig [EUR] bis zweihundert [EUR] und im zweiten Fall mit einer Gefängnisstrafe von sechs Monaten bis fünf Jahren und einer Geldstrafe von hundert [EUR] bis sechshundert [EUR] bestraft.</w:t>
      </w:r>
    </w:p>
    <w:p w:rsidR="00426C15" w:rsidRDefault="00426C15">
      <w:pPr>
        <w:jc w:val="both"/>
        <w:rPr>
          <w:rFonts w:cs="Times New Roman"/>
          <w:lang w:val="de-DE"/>
        </w:rPr>
      </w:pPr>
    </w:p>
    <w:p w:rsidR="00426C15" w:rsidRDefault="00426C15">
      <w:pPr>
        <w:jc w:val="both"/>
        <w:rPr>
          <w:rFonts w:cs="Times New Roman"/>
          <w:lang w:val="de-DE"/>
        </w:rPr>
      </w:pPr>
      <w:r>
        <w:rPr>
          <w:rFonts w:cs="Times New Roman"/>
          <w:i/>
          <w:iCs/>
          <w:lang w:val="de-DE"/>
        </w:rPr>
        <w:t>[Art. 7 abgeändert durch Art. 2 des G. vom 26. Juni 2000 (B.S. vom 29. Juli 2000)]</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8</w:t>
      </w:r>
      <w:r>
        <w:rPr>
          <w:rFonts w:cs="Times New Roman"/>
          <w:lang w:val="de-DE"/>
        </w:rPr>
        <w:t xml:space="preserve"> - Die Sonderbeschlagnahme der in Artikel 1 erwähnten Stoffe, Gemische oder Geräte wird im Fall der in den Artikeln 5 und 6 vorgesehenen Verstöße stets ausgesprochen, selbst wenn diese nicht das Eigentum des Verurteilten sind.</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 xml:space="preserve">Deren Vernichtung darf selbst vor der Verurteilung vorgenommen werden, wenn dies im Interesse der öffentlichen Sicherheit erforderlich ist. </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9</w:t>
      </w:r>
      <w:r>
        <w:rPr>
          <w:rFonts w:cs="Times New Roman"/>
          <w:lang w:val="de-DE"/>
        </w:rPr>
        <w:t xml:space="preserve"> - Alle Bestimmungen von Buch I des Strafgesetzbuches, ohne Ausnahme von Kapitel VII und Artikel 85, sind anwendbar auf Verstöße gegen Bestimmungen, die aufgrund von Artikel 1 ergangen sind.</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10</w:t>
      </w:r>
      <w:r>
        <w:rPr>
          <w:rFonts w:cs="Times New Roman"/>
          <w:lang w:val="de-DE"/>
        </w:rPr>
        <w:t xml:space="preserve"> - Bei Aufruhr, Streiks oder jeder ernsten Gefährdung der öffentlichen Ordnung können der Provinzgouverneur und der Bürgermeister der Gemeinde, in der sich die in Artikel 1 erwähnten Gegenstände im Besitz von Privatleuten befinden, die Verbringung dieser Gegenstände an andere, von ihnen bestimmte Orte befehlen, sofern sie dies für nötig erachten.</w:t>
      </w:r>
    </w:p>
    <w:p w:rsidR="00EE0CE7" w:rsidRDefault="00EE0CE7">
      <w:pPr>
        <w:ind w:firstLine="720"/>
        <w:jc w:val="both"/>
        <w:rPr>
          <w:rFonts w:cs="Times New Roman"/>
          <w:lang w:val="de-DE"/>
        </w:rPr>
      </w:pPr>
    </w:p>
    <w:p w:rsidR="00426C15" w:rsidRDefault="00426C15">
      <w:pPr>
        <w:ind w:firstLine="720"/>
        <w:jc w:val="both"/>
        <w:rPr>
          <w:rFonts w:cs="Times New Roman"/>
          <w:lang w:val="de-DE"/>
        </w:rPr>
      </w:pPr>
      <w:r>
        <w:rPr>
          <w:rFonts w:cs="Times New Roman"/>
          <w:lang w:val="de-DE"/>
        </w:rPr>
        <w:t>Zu diesem Zweck können der Gouverneur und der Bürgermeister für den Transport von Sprengstoff zugelassene Fahrzeuge sowie deren Führer anfordern. Wenn sie es für die Aufrechterhaltung der Ordnung und der Sicherheit für nötig erachten, können sie ebenfalls die bewaffnete Macht anfordern, damit diese die Transporte eskortiert oder durchführt.</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In diesem Fall setzen sie den Minister des Innern und den Minister der Landesverteidigung unverzüglich davon in Kenntnis.</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Der kommandierende Offizier ist verpflichtet, den Anforderungen des Gouverneurs und des Bürgermeisters Folge zu leisten.</w:t>
      </w: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lang w:val="de-DE"/>
        </w:rPr>
        <w:t>Die Verbringungskosten gehen zu Lasten des Besitzers der Gegenstände.</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11</w:t>
      </w:r>
      <w:r>
        <w:rPr>
          <w:rFonts w:cs="Times New Roman"/>
          <w:lang w:val="de-DE"/>
        </w:rPr>
        <w:t xml:space="preserve"> - Verstöße gegen Maßnahmen, die von den Provinzgouverneuren und den Bürgermeistern aufgrund des Artikels 10 getroffen wurden, werden mit einer Gefängnisstrafe von fünfzehn Tagen bis zwei Jahren und einer Geldstrafe von hundert [EUR] bis tausend [EUR] geahndet.</w:t>
      </w:r>
    </w:p>
    <w:p w:rsidR="00426C15" w:rsidRDefault="00426C15">
      <w:pPr>
        <w:jc w:val="both"/>
        <w:rPr>
          <w:rFonts w:cs="Times New Roman"/>
          <w:lang w:val="de-DE"/>
        </w:rPr>
      </w:pPr>
    </w:p>
    <w:p w:rsidR="00426C15" w:rsidRDefault="00426C15">
      <w:pPr>
        <w:jc w:val="both"/>
        <w:rPr>
          <w:rFonts w:cs="Times New Roman"/>
          <w:lang w:val="de-DE"/>
        </w:rPr>
      </w:pPr>
      <w:r>
        <w:rPr>
          <w:rFonts w:cs="Times New Roman"/>
          <w:i/>
          <w:iCs/>
          <w:lang w:val="de-DE"/>
        </w:rPr>
        <w:t>[Art. 11 abgeändert durch Art. 2 des G. vom 26. Juni 2000 (B.S. vom 29. Juli 2000)]</w:t>
      </w:r>
    </w:p>
    <w:p w:rsidR="00426C15" w:rsidRDefault="00426C15">
      <w:pPr>
        <w:jc w:val="both"/>
        <w:rPr>
          <w:rFonts w:cs="Times New Roman"/>
          <w:lang w:val="de-DE"/>
        </w:rPr>
      </w:pPr>
    </w:p>
    <w:p w:rsidR="00426C15" w:rsidRDefault="00426C15">
      <w:pPr>
        <w:jc w:val="both"/>
        <w:rPr>
          <w:rFonts w:cs="Times New Roman"/>
          <w:lang w:val="de-DE"/>
        </w:rPr>
      </w:pPr>
    </w:p>
    <w:p w:rsidR="00426C15" w:rsidRDefault="00426C15">
      <w:pPr>
        <w:ind w:firstLine="720"/>
        <w:jc w:val="both"/>
        <w:rPr>
          <w:rFonts w:cs="Times New Roman"/>
          <w:lang w:val="de-DE"/>
        </w:rPr>
      </w:pPr>
      <w:r>
        <w:rPr>
          <w:rFonts w:cs="Times New Roman"/>
          <w:b/>
          <w:bCs/>
          <w:lang w:val="de-DE"/>
        </w:rPr>
        <w:t>Art. 12</w:t>
      </w:r>
      <w:r>
        <w:rPr>
          <w:rFonts w:cs="Times New Roman"/>
          <w:lang w:val="de-DE"/>
        </w:rPr>
        <w:t xml:space="preserve"> - Das Gesetz vom 15. Oktober 1881 über die Lager von, den Einzelhandel mit und die Beförderung von Schießpulver, Dynamit und allen anderen explosiven Stoffen und das Gesetz vom 22. Mai 1886 zur Revision des Gesetzes vom 15. Oktober 1881 werden aufgehoben.</w:t>
      </w:r>
    </w:p>
    <w:p w:rsidR="000A2579" w:rsidRDefault="00FE0D5C"/>
    <w:sectPr w:rsidR="000A2579" w:rsidSect="00D91F06">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15"/>
    <w:rsid w:val="003E58E7"/>
    <w:rsid w:val="00426C15"/>
    <w:rsid w:val="006D5C43"/>
    <w:rsid w:val="00E907C2"/>
    <w:rsid w:val="00EE0CE7"/>
    <w:rsid w:val="00FE0D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1066</Words>
  <Characters>5868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1</cp:revision>
  <dcterms:created xsi:type="dcterms:W3CDTF">2013-05-31T12:32:00Z</dcterms:created>
  <dcterms:modified xsi:type="dcterms:W3CDTF">2013-05-31T13:10:00Z</dcterms:modified>
</cp:coreProperties>
</file>