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359A0BB" w14:textId="77777777" w:rsidR="00834A67" w:rsidRPr="001F74BC" w:rsidRDefault="00834A67" w:rsidP="00834A67">
      <w:pPr>
        <w:spacing w:after="0" w:line="240" w:lineRule="auto"/>
        <w:jc w:val="both"/>
        <w:rPr>
          <w:rFonts w:ascii="Times New Roman" w:hAnsi="Times New Roman" w:cs="Times New Roman"/>
          <w:b/>
          <w:bCs/>
          <w:sz w:val="24"/>
          <w:szCs w:val="24"/>
        </w:rPr>
      </w:pPr>
      <w:r>
        <w:rPr>
          <w:rFonts w:ascii="Times New Roman" w:hAnsi="Times New Roman"/>
          <w:b/>
          <w:sz w:val="24"/>
        </w:rPr>
        <w:t>29. JUNI 2022 - Ministerieller Erlass zur Ausführung von Artikel 11 § 2 Absatz 7 des Königlichen Erlasses vom 20. Juli 2005 zur Regelung der Modalitäten für das Kartenmanagement bei Fußballspielen</w:t>
      </w:r>
    </w:p>
    <w:p w14:paraId="4077DEF4" w14:textId="77777777" w:rsidR="00834A67" w:rsidRPr="001F74BC" w:rsidRDefault="00834A67" w:rsidP="00834A67">
      <w:pPr>
        <w:spacing w:after="0" w:line="240" w:lineRule="auto"/>
        <w:jc w:val="both"/>
        <w:rPr>
          <w:rFonts w:ascii="Times New Roman" w:hAnsi="Times New Roman" w:cs="Times New Roman"/>
          <w:sz w:val="24"/>
          <w:szCs w:val="24"/>
        </w:rPr>
      </w:pPr>
    </w:p>
    <w:p w14:paraId="662BCE5D" w14:textId="77777777" w:rsidR="00834A67" w:rsidRPr="00834A67" w:rsidRDefault="00834A67" w:rsidP="00834A67">
      <w:pPr>
        <w:spacing w:after="0" w:line="240" w:lineRule="auto"/>
        <w:rPr>
          <w:rFonts w:ascii="Times New Roman" w:hAnsi="Times New Roman" w:cs="Times New Roman"/>
          <w:sz w:val="24"/>
          <w:szCs w:val="24"/>
        </w:rPr>
      </w:pPr>
    </w:p>
    <w:p w14:paraId="3998BF2B" w14:textId="32D70836" w:rsidR="00834A67" w:rsidRPr="00834A67" w:rsidRDefault="00834A67" w:rsidP="00834A67">
      <w:pPr>
        <w:spacing w:after="0" w:line="240" w:lineRule="auto"/>
        <w:jc w:val="center"/>
        <w:rPr>
          <w:rFonts w:ascii="Times New Roman" w:hAnsi="Times New Roman" w:cs="Times New Roman"/>
          <w:i/>
          <w:sz w:val="24"/>
          <w:szCs w:val="24"/>
        </w:rPr>
      </w:pPr>
      <w:r w:rsidRPr="00834A67">
        <w:rPr>
          <w:rFonts w:ascii="Times New Roman" w:hAnsi="Times New Roman" w:cs="Times New Roman"/>
          <w:sz w:val="24"/>
          <w:szCs w:val="24"/>
        </w:rPr>
        <w:t>(</w:t>
      </w:r>
      <w:r w:rsidRPr="00834A67">
        <w:rPr>
          <w:rFonts w:ascii="Times New Roman" w:hAnsi="Times New Roman" w:cs="Times New Roman"/>
          <w:i/>
          <w:sz w:val="24"/>
          <w:szCs w:val="24"/>
        </w:rPr>
        <w:t xml:space="preserve">Belgisches Staatsblatt </w:t>
      </w:r>
      <w:r w:rsidRPr="00834A67">
        <w:rPr>
          <w:rFonts w:ascii="Times New Roman" w:hAnsi="Times New Roman" w:cs="Times New Roman"/>
          <w:sz w:val="24"/>
          <w:szCs w:val="24"/>
        </w:rPr>
        <w:t xml:space="preserve">vom </w:t>
      </w:r>
      <w:r>
        <w:rPr>
          <w:rFonts w:ascii="Times New Roman" w:hAnsi="Times New Roman" w:cs="Times New Roman"/>
          <w:sz w:val="24"/>
          <w:szCs w:val="24"/>
        </w:rPr>
        <w:t>19. Januar 2024</w:t>
      </w:r>
      <w:r w:rsidRPr="00834A67">
        <w:rPr>
          <w:rFonts w:ascii="Times New Roman" w:hAnsi="Times New Roman" w:cs="Times New Roman"/>
          <w:sz w:val="24"/>
          <w:szCs w:val="24"/>
        </w:rPr>
        <w:t>)</w:t>
      </w:r>
    </w:p>
    <w:p w14:paraId="33EAB85A" w14:textId="77777777" w:rsidR="00834A67" w:rsidRPr="00834A67" w:rsidRDefault="00834A67" w:rsidP="00834A67">
      <w:pPr>
        <w:spacing w:after="0" w:line="240" w:lineRule="auto"/>
        <w:jc w:val="center"/>
        <w:rPr>
          <w:rFonts w:ascii="Times New Roman" w:hAnsi="Times New Roman" w:cs="Times New Roman"/>
          <w:sz w:val="24"/>
          <w:szCs w:val="24"/>
        </w:rPr>
      </w:pPr>
      <w:bookmarkStart w:id="0" w:name="_GoBack"/>
    </w:p>
    <w:bookmarkEnd w:id="0"/>
    <w:p w14:paraId="4EAF2578" w14:textId="77777777" w:rsidR="00834A67" w:rsidRPr="00834A67" w:rsidRDefault="00834A67" w:rsidP="00834A67">
      <w:pPr>
        <w:spacing w:after="0" w:line="240" w:lineRule="auto"/>
        <w:jc w:val="center"/>
        <w:rPr>
          <w:rFonts w:ascii="Times New Roman" w:hAnsi="Times New Roman" w:cs="Times New Roman"/>
          <w:sz w:val="24"/>
          <w:szCs w:val="24"/>
        </w:rPr>
      </w:pPr>
    </w:p>
    <w:p w14:paraId="303D3F17" w14:textId="77777777" w:rsidR="00834A67" w:rsidRPr="00834A67" w:rsidRDefault="00834A67" w:rsidP="00834A67">
      <w:pPr>
        <w:spacing w:after="0" w:line="240" w:lineRule="auto"/>
        <w:jc w:val="both"/>
        <w:rPr>
          <w:rFonts w:ascii="Times New Roman" w:hAnsi="Times New Roman" w:cs="Times New Roman"/>
          <w:sz w:val="24"/>
          <w:szCs w:val="24"/>
        </w:rPr>
      </w:pPr>
      <w:r w:rsidRPr="00834A67">
        <w:rPr>
          <w:rFonts w:ascii="Times New Roman" w:hAnsi="Times New Roman" w:cs="Times New Roman"/>
          <w:sz w:val="24"/>
          <w:szCs w:val="24"/>
        </w:rPr>
        <w:t>Diese deutsche Übersetzung ist von der Zentralen Dienststelle für Deutsche Übersetzungen in Malmedy erstellt worden.</w:t>
      </w:r>
    </w:p>
    <w:p w14:paraId="38AA2EAC" w14:textId="77777777" w:rsidR="00834A67" w:rsidRPr="00834A67" w:rsidRDefault="00834A67" w:rsidP="00834A67">
      <w:pPr>
        <w:spacing w:after="0" w:line="240" w:lineRule="auto"/>
        <w:jc w:val="both"/>
        <w:rPr>
          <w:rFonts w:ascii="Times New Roman" w:hAnsi="Times New Roman" w:cs="Times New Roman"/>
          <w:sz w:val="24"/>
          <w:szCs w:val="24"/>
        </w:rPr>
      </w:pPr>
    </w:p>
    <w:p w14:paraId="73CD43BD" w14:textId="77777777" w:rsidR="00834A67" w:rsidRPr="00834A67" w:rsidRDefault="00834A67" w:rsidP="00834A67">
      <w:pPr>
        <w:spacing w:after="0" w:line="240" w:lineRule="auto"/>
        <w:jc w:val="both"/>
        <w:rPr>
          <w:rFonts w:ascii="Times New Roman" w:hAnsi="Times New Roman" w:cs="Times New Roman"/>
          <w:sz w:val="24"/>
          <w:szCs w:val="24"/>
        </w:rPr>
      </w:pPr>
    </w:p>
    <w:p w14:paraId="24AC9FE6" w14:textId="77777777" w:rsidR="00834A67" w:rsidRDefault="00834A67" w:rsidP="006F4381">
      <w:pPr>
        <w:jc w:val="both"/>
        <w:sectPr w:rsidR="00834A67" w:rsidSect="00834A67">
          <w:pgSz w:w="11906" w:h="16838" w:code="9"/>
          <w:pgMar w:top="1418" w:right="1418" w:bottom="1418" w:left="1418" w:header="709" w:footer="709" w:gutter="0"/>
          <w:cols w:space="708"/>
          <w:vAlign w:val="center"/>
          <w:docGrid w:linePitch="360"/>
        </w:sectPr>
      </w:pPr>
    </w:p>
    <w:p w14:paraId="0D7F0650" w14:textId="77777777" w:rsidR="00834A67" w:rsidRPr="00C80000" w:rsidRDefault="00834A67" w:rsidP="00E1687C">
      <w:pPr>
        <w:jc w:val="both"/>
      </w:pPr>
    </w:p>
    <w:p w14:paraId="72C3A18B" w14:textId="3D443116" w:rsidR="001F74BC" w:rsidRPr="001F74BC" w:rsidRDefault="001F74BC" w:rsidP="001F74BC">
      <w:pPr>
        <w:spacing w:after="0" w:line="240" w:lineRule="auto"/>
        <w:jc w:val="center"/>
        <w:rPr>
          <w:rFonts w:ascii="Times New Roman" w:hAnsi="Times New Roman" w:cs="Times New Roman"/>
          <w:b/>
          <w:bCs/>
          <w:sz w:val="24"/>
          <w:szCs w:val="24"/>
        </w:rPr>
      </w:pPr>
      <w:r>
        <w:rPr>
          <w:rFonts w:ascii="Times New Roman" w:hAnsi="Times New Roman"/>
          <w:b/>
          <w:bCs/>
          <w:sz w:val="24"/>
        </w:rPr>
        <w:t>FÖDERALER ÖFFENTLICHER DIENST INNERES</w:t>
      </w:r>
    </w:p>
    <w:p w14:paraId="754456B2" w14:textId="77777777" w:rsidR="001F74BC" w:rsidRDefault="001F74BC" w:rsidP="001F74BC">
      <w:pPr>
        <w:spacing w:after="0" w:line="240" w:lineRule="auto"/>
        <w:jc w:val="both"/>
        <w:rPr>
          <w:rFonts w:ascii="Times New Roman" w:hAnsi="Times New Roman" w:cs="Times New Roman"/>
          <w:sz w:val="24"/>
          <w:szCs w:val="24"/>
        </w:rPr>
      </w:pPr>
    </w:p>
    <w:p w14:paraId="08CCE06F" w14:textId="77777777" w:rsidR="001F74BC" w:rsidRDefault="001F74BC" w:rsidP="001F74BC">
      <w:pPr>
        <w:spacing w:after="0" w:line="240" w:lineRule="auto"/>
        <w:jc w:val="both"/>
        <w:rPr>
          <w:rFonts w:ascii="Times New Roman" w:hAnsi="Times New Roman" w:cs="Times New Roman"/>
          <w:sz w:val="24"/>
          <w:szCs w:val="24"/>
        </w:rPr>
      </w:pPr>
    </w:p>
    <w:p w14:paraId="5619548B" w14:textId="1CCF4711" w:rsidR="001F74BC" w:rsidRPr="001F74BC" w:rsidRDefault="001F74BC" w:rsidP="001F74BC">
      <w:pPr>
        <w:spacing w:after="0" w:line="240" w:lineRule="auto"/>
        <w:jc w:val="both"/>
        <w:rPr>
          <w:rFonts w:ascii="Times New Roman" w:hAnsi="Times New Roman" w:cs="Times New Roman"/>
          <w:b/>
          <w:bCs/>
          <w:sz w:val="24"/>
          <w:szCs w:val="24"/>
        </w:rPr>
      </w:pPr>
      <w:r>
        <w:rPr>
          <w:rFonts w:ascii="Times New Roman" w:hAnsi="Times New Roman"/>
          <w:b/>
          <w:sz w:val="24"/>
        </w:rPr>
        <w:t>29. JUNI 2022 - Ministerieller Erlass zur Ausführung von Artikel 11 § 2 Absatz 7 des Königlichen Erlasses vom 20. Juli 2005 zur Regelung der Modalitäten für das Kartenmanagement bei Fußballspielen</w:t>
      </w:r>
    </w:p>
    <w:p w14:paraId="24CD4CDD" w14:textId="77777777" w:rsidR="001F74BC" w:rsidRPr="001F74BC" w:rsidRDefault="001F74BC" w:rsidP="001F74BC">
      <w:pPr>
        <w:spacing w:after="0" w:line="240" w:lineRule="auto"/>
        <w:jc w:val="both"/>
        <w:rPr>
          <w:rFonts w:ascii="Times New Roman" w:hAnsi="Times New Roman" w:cs="Times New Roman"/>
          <w:sz w:val="24"/>
          <w:szCs w:val="24"/>
        </w:rPr>
      </w:pPr>
    </w:p>
    <w:p w14:paraId="730A7121" w14:textId="77777777" w:rsidR="001F74BC" w:rsidRPr="001F74BC" w:rsidRDefault="001F74BC" w:rsidP="001F74BC">
      <w:pPr>
        <w:spacing w:after="0" w:line="240" w:lineRule="auto"/>
        <w:jc w:val="both"/>
        <w:rPr>
          <w:rFonts w:ascii="Times New Roman" w:hAnsi="Times New Roman" w:cs="Times New Roman"/>
          <w:sz w:val="24"/>
          <w:szCs w:val="24"/>
        </w:rPr>
      </w:pPr>
    </w:p>
    <w:p w14:paraId="72A2FDB0" w14:textId="77777777" w:rsidR="001F74BC" w:rsidRPr="001F74BC" w:rsidRDefault="001F74BC" w:rsidP="00C66376">
      <w:pPr>
        <w:spacing w:after="0" w:line="240" w:lineRule="auto"/>
        <w:ind w:left="708" w:firstLine="708"/>
        <w:jc w:val="both"/>
        <w:rPr>
          <w:rFonts w:ascii="Times New Roman" w:hAnsi="Times New Roman" w:cs="Times New Roman"/>
          <w:sz w:val="24"/>
          <w:szCs w:val="24"/>
        </w:rPr>
      </w:pPr>
      <w:r>
        <w:rPr>
          <w:rFonts w:ascii="Times New Roman" w:hAnsi="Times New Roman"/>
          <w:sz w:val="24"/>
        </w:rPr>
        <w:t>Die Ministerin des Innern, der Institutionellen Reformen und der Demokratischen Erneuerung,</w:t>
      </w:r>
    </w:p>
    <w:p w14:paraId="2FA919B8" w14:textId="77777777" w:rsidR="001F74BC" w:rsidRDefault="001F74BC" w:rsidP="001F74BC">
      <w:pPr>
        <w:spacing w:after="0" w:line="240" w:lineRule="auto"/>
        <w:jc w:val="both"/>
        <w:rPr>
          <w:rFonts w:ascii="Times New Roman" w:hAnsi="Times New Roman" w:cs="Times New Roman"/>
          <w:sz w:val="24"/>
          <w:szCs w:val="24"/>
        </w:rPr>
      </w:pPr>
    </w:p>
    <w:p w14:paraId="2EEA7249" w14:textId="77777777" w:rsidR="001F74BC" w:rsidRDefault="001F74BC" w:rsidP="001F74BC">
      <w:pPr>
        <w:spacing w:after="0" w:line="240" w:lineRule="auto"/>
        <w:jc w:val="both"/>
        <w:rPr>
          <w:rFonts w:ascii="Times New Roman" w:hAnsi="Times New Roman" w:cs="Times New Roman"/>
          <w:sz w:val="24"/>
          <w:szCs w:val="24"/>
        </w:rPr>
      </w:pPr>
    </w:p>
    <w:p w14:paraId="71EB4F22" w14:textId="054C7E17" w:rsidR="001F74BC" w:rsidRPr="001F74BC" w:rsidRDefault="001F74BC" w:rsidP="001F74BC">
      <w:pPr>
        <w:spacing w:after="0" w:line="240" w:lineRule="auto"/>
        <w:ind w:firstLine="708"/>
        <w:jc w:val="both"/>
        <w:rPr>
          <w:rFonts w:ascii="Times New Roman" w:hAnsi="Times New Roman" w:cs="Times New Roman"/>
          <w:sz w:val="24"/>
          <w:szCs w:val="24"/>
        </w:rPr>
      </w:pPr>
      <w:r>
        <w:rPr>
          <w:rFonts w:ascii="Times New Roman" w:hAnsi="Times New Roman"/>
          <w:sz w:val="24"/>
        </w:rPr>
        <w:t>Aufgrund des Gesetzes vom 21. Dezember 1998 über die Sicherheit bei Fußballspielen, des Artikels 10 § 2 Nr. 2, ersetzt durch das Gesetz vom 3. Juni 2018;</w:t>
      </w:r>
    </w:p>
    <w:p w14:paraId="7531FC81" w14:textId="77777777" w:rsidR="001F74BC" w:rsidRDefault="001F74BC" w:rsidP="001F74BC">
      <w:pPr>
        <w:spacing w:after="0" w:line="240" w:lineRule="auto"/>
        <w:jc w:val="both"/>
        <w:rPr>
          <w:rFonts w:ascii="Times New Roman" w:hAnsi="Times New Roman" w:cs="Times New Roman"/>
          <w:sz w:val="24"/>
          <w:szCs w:val="24"/>
        </w:rPr>
      </w:pPr>
    </w:p>
    <w:p w14:paraId="6B47B17A" w14:textId="732F35DB" w:rsidR="001F74BC" w:rsidRPr="001F74BC" w:rsidRDefault="001F74BC" w:rsidP="001F74BC">
      <w:pPr>
        <w:spacing w:after="0" w:line="240" w:lineRule="auto"/>
        <w:ind w:firstLine="708"/>
        <w:jc w:val="both"/>
        <w:rPr>
          <w:rFonts w:ascii="Times New Roman" w:hAnsi="Times New Roman" w:cs="Times New Roman"/>
          <w:sz w:val="24"/>
          <w:szCs w:val="24"/>
        </w:rPr>
      </w:pPr>
      <w:r>
        <w:rPr>
          <w:rFonts w:ascii="Times New Roman" w:hAnsi="Times New Roman"/>
          <w:sz w:val="24"/>
        </w:rPr>
        <w:t>Aufgrund des Königlichen Erlasses vom 20. Juli 2005 zur Regelung der Modalitäten für das Kartenmanagement bei Fußballspielen, des Artikels 11 § 2 Absatz 7, ersetzt durch den Königlichen Erlass vom 30. September 2020;</w:t>
      </w:r>
    </w:p>
    <w:p w14:paraId="30D12545" w14:textId="77777777" w:rsidR="001F74BC" w:rsidRDefault="001F74BC" w:rsidP="001F74BC">
      <w:pPr>
        <w:spacing w:after="0" w:line="240" w:lineRule="auto"/>
        <w:jc w:val="both"/>
        <w:rPr>
          <w:rFonts w:ascii="Times New Roman" w:hAnsi="Times New Roman" w:cs="Times New Roman"/>
          <w:sz w:val="24"/>
          <w:szCs w:val="24"/>
        </w:rPr>
      </w:pPr>
    </w:p>
    <w:p w14:paraId="38708557" w14:textId="19B0DB13" w:rsidR="001F74BC" w:rsidRPr="001F74BC" w:rsidRDefault="001F74BC" w:rsidP="001F74BC">
      <w:pPr>
        <w:spacing w:after="0" w:line="240" w:lineRule="auto"/>
        <w:ind w:firstLine="708"/>
        <w:jc w:val="both"/>
        <w:rPr>
          <w:rFonts w:ascii="Times New Roman" w:hAnsi="Times New Roman" w:cs="Times New Roman"/>
          <w:sz w:val="24"/>
          <w:szCs w:val="24"/>
        </w:rPr>
      </w:pPr>
      <w:r>
        <w:rPr>
          <w:rFonts w:ascii="Times New Roman" w:hAnsi="Times New Roman"/>
          <w:sz w:val="24"/>
        </w:rPr>
        <w:t>Aufgrund der Stellungnahme Nr. 62/2022 der Datenschutzbehörde vom 1. April 2022;</w:t>
      </w:r>
    </w:p>
    <w:p w14:paraId="39E7429A" w14:textId="77777777" w:rsidR="001F74BC" w:rsidRDefault="001F74BC" w:rsidP="001F74BC">
      <w:pPr>
        <w:spacing w:after="0" w:line="240" w:lineRule="auto"/>
        <w:jc w:val="both"/>
        <w:rPr>
          <w:rFonts w:ascii="Times New Roman" w:hAnsi="Times New Roman" w:cs="Times New Roman"/>
          <w:sz w:val="24"/>
          <w:szCs w:val="24"/>
        </w:rPr>
      </w:pPr>
    </w:p>
    <w:p w14:paraId="4FB8235C" w14:textId="628F98D6" w:rsidR="001F74BC" w:rsidRPr="001F74BC" w:rsidRDefault="001F74BC" w:rsidP="001F74BC">
      <w:pPr>
        <w:spacing w:after="0" w:line="240" w:lineRule="auto"/>
        <w:ind w:firstLine="708"/>
        <w:jc w:val="both"/>
        <w:rPr>
          <w:rFonts w:ascii="Times New Roman" w:hAnsi="Times New Roman" w:cs="Times New Roman"/>
          <w:sz w:val="24"/>
          <w:szCs w:val="24"/>
        </w:rPr>
      </w:pPr>
      <w:r>
        <w:rPr>
          <w:rFonts w:ascii="Times New Roman" w:hAnsi="Times New Roman"/>
          <w:sz w:val="24"/>
        </w:rPr>
        <w:t>Aufgrund des Gutachtens Nr. 71.486/2 des Staatsrates vom 7. Juni 2022, abgegeben in Anwendung von Artikel 84 § 1 Absatz 1 Nr. 2 der am 12. Januar 1973 koordinierten Gesetze über den Staatsrat,</w:t>
      </w:r>
    </w:p>
    <w:p w14:paraId="3C9EBC99" w14:textId="77777777" w:rsidR="001F74BC" w:rsidRDefault="001F74BC" w:rsidP="001F74BC">
      <w:pPr>
        <w:spacing w:after="0" w:line="240" w:lineRule="auto"/>
        <w:jc w:val="both"/>
        <w:rPr>
          <w:rFonts w:ascii="Times New Roman" w:hAnsi="Times New Roman" w:cs="Times New Roman"/>
          <w:sz w:val="24"/>
          <w:szCs w:val="24"/>
        </w:rPr>
      </w:pPr>
    </w:p>
    <w:p w14:paraId="529878FA" w14:textId="77777777" w:rsidR="001F74BC" w:rsidRDefault="001F74BC" w:rsidP="001F74BC">
      <w:pPr>
        <w:spacing w:after="0" w:line="240" w:lineRule="auto"/>
        <w:jc w:val="both"/>
        <w:rPr>
          <w:rFonts w:ascii="Times New Roman" w:hAnsi="Times New Roman" w:cs="Times New Roman"/>
          <w:sz w:val="24"/>
          <w:szCs w:val="24"/>
        </w:rPr>
      </w:pPr>
    </w:p>
    <w:p w14:paraId="66316892" w14:textId="30B60988" w:rsidR="001F74BC" w:rsidRPr="001F74BC" w:rsidRDefault="001F74BC" w:rsidP="00C66376">
      <w:pPr>
        <w:spacing w:after="0" w:line="240" w:lineRule="auto"/>
        <w:ind w:left="708" w:firstLine="708"/>
        <w:jc w:val="both"/>
        <w:rPr>
          <w:rFonts w:ascii="Times New Roman" w:hAnsi="Times New Roman" w:cs="Times New Roman"/>
          <w:sz w:val="24"/>
          <w:szCs w:val="24"/>
        </w:rPr>
      </w:pPr>
      <w:r>
        <w:rPr>
          <w:rFonts w:ascii="Times New Roman" w:hAnsi="Times New Roman"/>
          <w:sz w:val="24"/>
        </w:rPr>
        <w:t>Erlässt:</w:t>
      </w:r>
    </w:p>
    <w:p w14:paraId="6792A1F1" w14:textId="77777777" w:rsidR="001F74BC" w:rsidRDefault="001F74BC" w:rsidP="001F74BC">
      <w:pPr>
        <w:spacing w:after="0" w:line="240" w:lineRule="auto"/>
        <w:jc w:val="both"/>
        <w:rPr>
          <w:rFonts w:ascii="Times New Roman" w:hAnsi="Times New Roman" w:cs="Times New Roman"/>
          <w:sz w:val="24"/>
          <w:szCs w:val="24"/>
        </w:rPr>
      </w:pPr>
    </w:p>
    <w:p w14:paraId="76DCC056" w14:textId="77777777" w:rsidR="001F74BC" w:rsidRDefault="001F74BC" w:rsidP="001F74BC">
      <w:pPr>
        <w:spacing w:after="0" w:line="240" w:lineRule="auto"/>
        <w:jc w:val="both"/>
        <w:rPr>
          <w:rFonts w:ascii="Times New Roman" w:hAnsi="Times New Roman" w:cs="Times New Roman"/>
          <w:sz w:val="24"/>
          <w:szCs w:val="24"/>
        </w:rPr>
      </w:pPr>
    </w:p>
    <w:p w14:paraId="10859550" w14:textId="7F5B9129" w:rsidR="001F74BC" w:rsidRPr="001F74BC" w:rsidRDefault="001F74BC" w:rsidP="001F74BC">
      <w:pPr>
        <w:spacing w:after="0" w:line="240" w:lineRule="auto"/>
        <w:ind w:firstLine="708"/>
        <w:jc w:val="both"/>
        <w:rPr>
          <w:rFonts w:ascii="Times New Roman" w:hAnsi="Times New Roman" w:cs="Times New Roman"/>
          <w:sz w:val="24"/>
          <w:szCs w:val="24"/>
        </w:rPr>
      </w:pPr>
      <w:r>
        <w:rPr>
          <w:rFonts w:ascii="Times New Roman" w:hAnsi="Times New Roman"/>
          <w:b/>
          <w:sz w:val="24"/>
        </w:rPr>
        <w:t>Artikel 1 -</w:t>
      </w:r>
      <w:r>
        <w:rPr>
          <w:rFonts w:ascii="Times New Roman" w:hAnsi="Times New Roman"/>
          <w:sz w:val="24"/>
        </w:rPr>
        <w:t xml:space="preserve"> Bei der in Artikel 11 § 2 Absatz 5 des Königlichen Erlasses vom 20. Juli 2005 zur Regelung der Modalitäten für das Kartenmanagement bei Fußballspielen erwähnten digitalen Übertragung handelt es sich um die Übertragung einer Identitätsdatei, die durch das Auslesen des Identitätsdokuments entsteht.</w:t>
      </w:r>
    </w:p>
    <w:p w14:paraId="56CEAF3B" w14:textId="77777777" w:rsidR="001F74BC" w:rsidRDefault="001F74BC" w:rsidP="001F74BC">
      <w:pPr>
        <w:spacing w:after="0" w:line="240" w:lineRule="auto"/>
        <w:jc w:val="both"/>
        <w:rPr>
          <w:rFonts w:ascii="Times New Roman" w:hAnsi="Times New Roman" w:cs="Times New Roman"/>
          <w:sz w:val="24"/>
          <w:szCs w:val="24"/>
        </w:rPr>
      </w:pPr>
    </w:p>
    <w:p w14:paraId="7CBB8BF3" w14:textId="77777777" w:rsidR="001F74BC" w:rsidRDefault="001F74BC" w:rsidP="001F74BC">
      <w:pPr>
        <w:spacing w:after="0" w:line="240" w:lineRule="auto"/>
        <w:jc w:val="both"/>
        <w:rPr>
          <w:rFonts w:ascii="Times New Roman" w:hAnsi="Times New Roman" w:cs="Times New Roman"/>
          <w:sz w:val="24"/>
          <w:szCs w:val="24"/>
        </w:rPr>
      </w:pPr>
    </w:p>
    <w:p w14:paraId="6FBDE398" w14:textId="522551AF" w:rsidR="001F74BC" w:rsidRPr="001F74BC" w:rsidRDefault="001F74BC" w:rsidP="001F74BC">
      <w:pPr>
        <w:spacing w:after="0" w:line="240" w:lineRule="auto"/>
        <w:ind w:firstLine="708"/>
        <w:jc w:val="both"/>
        <w:rPr>
          <w:rFonts w:ascii="Times New Roman" w:hAnsi="Times New Roman" w:cs="Times New Roman"/>
          <w:sz w:val="24"/>
          <w:szCs w:val="24"/>
        </w:rPr>
      </w:pPr>
      <w:r>
        <w:rPr>
          <w:rFonts w:ascii="Times New Roman" w:hAnsi="Times New Roman"/>
          <w:b/>
          <w:bCs/>
          <w:sz w:val="24"/>
        </w:rPr>
        <w:t>Art. 2 -</w:t>
      </w:r>
      <w:r>
        <w:rPr>
          <w:rFonts w:ascii="Times New Roman" w:hAnsi="Times New Roman"/>
          <w:sz w:val="24"/>
        </w:rPr>
        <w:t xml:space="preserve"> Bei der in Artikel 11 § 2 Absatz 6 des Königlichen Erlasses vom 20. Juli 2005 zur Regelung der Modalitäten für das Kartenmanagement bei Fußballspielen erwähnten Kopie des Personalausweises handelt es sich um eine durchgestrichene Kopie des Personalausweises der nicht anwesenden Personen mit der Angabe des Adressaten und des Zwecks der Verwendung der Kopie.</w:t>
      </w:r>
    </w:p>
    <w:p w14:paraId="6A4C5543" w14:textId="77777777" w:rsidR="001F74BC" w:rsidRDefault="001F74BC" w:rsidP="001F74BC">
      <w:pPr>
        <w:spacing w:after="0" w:line="240" w:lineRule="auto"/>
        <w:jc w:val="both"/>
        <w:rPr>
          <w:rFonts w:ascii="Times New Roman" w:hAnsi="Times New Roman" w:cs="Times New Roman"/>
          <w:sz w:val="24"/>
          <w:szCs w:val="24"/>
        </w:rPr>
      </w:pPr>
    </w:p>
    <w:p w14:paraId="15145A11" w14:textId="77777777" w:rsidR="001F74BC" w:rsidRDefault="001F74BC" w:rsidP="001F74BC">
      <w:pPr>
        <w:spacing w:after="0" w:line="240" w:lineRule="auto"/>
        <w:jc w:val="both"/>
        <w:rPr>
          <w:rFonts w:ascii="Times New Roman" w:hAnsi="Times New Roman" w:cs="Times New Roman"/>
          <w:sz w:val="24"/>
          <w:szCs w:val="24"/>
        </w:rPr>
      </w:pPr>
    </w:p>
    <w:p w14:paraId="62D12DA3" w14:textId="0D6FCCE6" w:rsidR="001F74BC" w:rsidRPr="001F74BC" w:rsidRDefault="001F74BC" w:rsidP="001F74BC">
      <w:pPr>
        <w:spacing w:after="0" w:line="240" w:lineRule="auto"/>
        <w:ind w:firstLine="708"/>
        <w:jc w:val="both"/>
        <w:rPr>
          <w:rFonts w:ascii="Times New Roman" w:hAnsi="Times New Roman" w:cs="Times New Roman"/>
          <w:sz w:val="24"/>
          <w:szCs w:val="24"/>
        </w:rPr>
      </w:pPr>
      <w:r>
        <w:rPr>
          <w:rFonts w:ascii="Times New Roman" w:hAnsi="Times New Roman"/>
          <w:sz w:val="24"/>
        </w:rPr>
        <w:t>Gegeben zu Brüssel, den 29. Juni 2022</w:t>
      </w:r>
    </w:p>
    <w:p w14:paraId="6C064A62" w14:textId="77777777" w:rsidR="001F74BC" w:rsidRDefault="001F74BC" w:rsidP="001F74BC">
      <w:pPr>
        <w:spacing w:after="0" w:line="240" w:lineRule="auto"/>
        <w:jc w:val="both"/>
        <w:rPr>
          <w:rFonts w:ascii="Times New Roman" w:hAnsi="Times New Roman" w:cs="Times New Roman"/>
          <w:sz w:val="24"/>
          <w:szCs w:val="24"/>
        </w:rPr>
      </w:pPr>
    </w:p>
    <w:p w14:paraId="370C341B" w14:textId="77777777" w:rsidR="001F74BC" w:rsidRDefault="001F74BC" w:rsidP="001F74BC">
      <w:pPr>
        <w:spacing w:after="0" w:line="240" w:lineRule="auto"/>
        <w:jc w:val="both"/>
        <w:rPr>
          <w:rFonts w:ascii="Times New Roman" w:hAnsi="Times New Roman" w:cs="Times New Roman"/>
          <w:sz w:val="24"/>
          <w:szCs w:val="24"/>
        </w:rPr>
      </w:pPr>
    </w:p>
    <w:p w14:paraId="0DD0A3F4" w14:textId="48607242" w:rsidR="001F74BC" w:rsidRPr="001F74BC" w:rsidRDefault="001F74BC" w:rsidP="001F74BC">
      <w:pPr>
        <w:spacing w:after="0" w:line="240" w:lineRule="auto"/>
        <w:jc w:val="center"/>
        <w:rPr>
          <w:rFonts w:ascii="Times New Roman" w:hAnsi="Times New Roman" w:cs="Times New Roman"/>
          <w:sz w:val="24"/>
          <w:szCs w:val="24"/>
        </w:rPr>
      </w:pPr>
      <w:r>
        <w:rPr>
          <w:rFonts w:ascii="Times New Roman" w:hAnsi="Times New Roman"/>
          <w:sz w:val="24"/>
        </w:rPr>
        <w:t>Die Ministerin des Innern, der Institutionellen Reformen und der Demokratischen Erneuerung</w:t>
      </w:r>
    </w:p>
    <w:p w14:paraId="5D2EA305" w14:textId="182E8409" w:rsidR="00816A81" w:rsidRPr="001F74BC" w:rsidRDefault="001F74BC" w:rsidP="001F74BC">
      <w:pPr>
        <w:spacing w:after="0" w:line="240" w:lineRule="auto"/>
        <w:jc w:val="center"/>
        <w:rPr>
          <w:rFonts w:ascii="Times New Roman" w:hAnsi="Times New Roman" w:cs="Times New Roman"/>
          <w:sz w:val="24"/>
          <w:szCs w:val="24"/>
        </w:rPr>
      </w:pPr>
      <w:r>
        <w:rPr>
          <w:rFonts w:ascii="Times New Roman" w:hAnsi="Times New Roman"/>
          <w:sz w:val="24"/>
        </w:rPr>
        <w:t>A. VERLINDEN</w:t>
      </w:r>
    </w:p>
    <w:sectPr w:rsidR="00816A81" w:rsidRPr="001F74BC">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8"/>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F74BC"/>
    <w:rsid w:val="001F74BC"/>
    <w:rsid w:val="002F71AA"/>
    <w:rsid w:val="003010DF"/>
    <w:rsid w:val="00342A35"/>
    <w:rsid w:val="00455C1B"/>
    <w:rsid w:val="00500873"/>
    <w:rsid w:val="00816A81"/>
    <w:rsid w:val="008265D0"/>
    <w:rsid w:val="00834A67"/>
    <w:rsid w:val="008550CE"/>
    <w:rsid w:val="00C66376"/>
    <w:rsid w:val="00CE624D"/>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7BE3C5"/>
  <w15:chartTrackingRefBased/>
  <w15:docId w15:val="{34BC7AD4-076C-41DB-B7A4-7954E39F48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de-D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34A67"/>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24848021">
      <w:bodyDiv w:val="1"/>
      <w:marLeft w:val="0"/>
      <w:marRight w:val="0"/>
      <w:marTop w:val="0"/>
      <w:marBottom w:val="0"/>
      <w:divBdr>
        <w:top w:val="none" w:sz="0" w:space="0" w:color="auto"/>
        <w:left w:val="none" w:sz="0" w:space="0" w:color="auto"/>
        <w:bottom w:val="none" w:sz="0" w:space="0" w:color="auto"/>
        <w:right w:val="none" w:sz="0" w:space="0" w:color="auto"/>
      </w:divBdr>
    </w:div>
    <w:div w:id="20363429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336</Words>
  <Characters>1851</Characters>
  <Application>Microsoft Office Word</Application>
  <DocSecurity>0</DocSecurity>
  <Lines>15</Lines>
  <Paragraphs>4</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2183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Natascha Theodor</dc:creator>
  <cp:keywords/>
  <dc:description/>
  <cp:lastModifiedBy>NG</cp:lastModifiedBy>
  <cp:revision>3</cp:revision>
  <dcterms:created xsi:type="dcterms:W3CDTF">2024-03-13T10:05:00Z</dcterms:created>
  <dcterms:modified xsi:type="dcterms:W3CDTF">2024-03-13T10:24:00Z</dcterms:modified>
</cp:coreProperties>
</file>