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F36" w:rsidRPr="000A562A" w:rsidRDefault="006A4D6B" w:rsidP="00786C4F">
      <w:pPr>
        <w:jc w:val="both"/>
        <w:rPr>
          <w:lang w:val="de-DE"/>
        </w:rPr>
      </w:pPr>
      <w:bookmarkStart w:id="0" w:name="_GoBack"/>
      <w:bookmarkEnd w:id="0"/>
      <w:r w:rsidRPr="006A4D6B">
        <w:rPr>
          <w:rFonts w:ascii="Times New Roman Gras" w:hAnsi="Times New Roman Gras"/>
          <w:b/>
          <w:lang w:val="de-DE"/>
        </w:rPr>
        <w:t>27. SEPTEMBER 2020 - Königlicher Erlass über das Zentralregister zur Rückverfolgbarkeit und zur Ausführung von Artikel 51 des Gesetzes vom 15. Dezember 2013 über medizinische Hilfsmittel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6A4D6B">
        <w:rPr>
          <w:lang w:val="de-DE"/>
        </w:rPr>
        <w:t>9. Dezember 2022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6A4D6B" w:rsidRPr="006A4D6B" w:rsidRDefault="006A4D6B" w:rsidP="00AD7934">
      <w:pPr>
        <w:jc w:val="center"/>
        <w:rPr>
          <w:b/>
          <w:bCs/>
          <w:lang w:val="de-DE"/>
        </w:rPr>
      </w:pPr>
      <w:r w:rsidRPr="006A4D6B">
        <w:rPr>
          <w:b/>
          <w:lang w:val="de-DE"/>
        </w:rPr>
        <w:lastRenderedPageBreak/>
        <w:t>FÖDERALAGENTUR FÜR ARZNEIMITTEL UND GESUNDHEITSPRODUKTE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885090">
      <w:pPr>
        <w:jc w:val="both"/>
        <w:rPr>
          <w:rFonts w:ascii="Times New Roman Gras" w:hAnsi="Times New Roman Gras"/>
          <w:b/>
          <w:spacing w:val="-2"/>
          <w:lang w:val="de-DE"/>
        </w:rPr>
      </w:pPr>
      <w:r w:rsidRPr="006A4D6B">
        <w:rPr>
          <w:rFonts w:ascii="Times New Roman Gras" w:hAnsi="Times New Roman Gras"/>
          <w:b/>
          <w:lang w:val="de-DE"/>
        </w:rPr>
        <w:t>27. SEPTEMBER 2020 - Königlicher Erlass über das Zentralregister zur Rückverfolgbarkeit und zur Ausführung von Artikel 51 des Gesetzes vom 15. Dezember 2013 über medizinische Hilfsmittel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</w:r>
      <w:r w:rsidRPr="006A4D6B">
        <w:rPr>
          <w:lang w:val="de-DE"/>
        </w:rPr>
        <w:tab/>
      </w:r>
      <w:r w:rsidRPr="006A4D6B">
        <w:rPr>
          <w:lang w:val="de-DE"/>
        </w:rPr>
        <w:tab/>
        <w:t>PHILIPPE, König der Belgier,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</w:r>
      <w:r w:rsidRPr="006A4D6B">
        <w:rPr>
          <w:lang w:val="de-DE"/>
        </w:rPr>
        <w:tab/>
        <w:t>Allen Gegenwärtigen und Zukünftigen, Unser Gruß!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Aufgrund des Artikels 108 der Verfassung;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Aufgrund des Gesetzes vom 15. Dezember 2013 über medizinische Hilfsmittel, der Artikel 51 und 57;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Aufgrund der Stellungnahme der Bewertungskommission, abgegeben am 1. Oktober 2015 und am 12. November 2015 in Anwendung von Artikel 51 § 1 Absatz 2 des Gesetzes vom 15. Dezember 2013 über medizinische Hilfsmittel;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Aufgrund der Stellungnahme der Föderalagentur für Arzneimittel und Gesundheitsprodukte, abgegeben in Anwendung von Artikel 51 § 1 Absatz 2 des Gesetzes vom 15. Dezember 2013 über medizinische Hilfsmittel, die die am 1. Oktober 2015 und am 12. November 2015 abgegebene Stellungnahme der Bewertungskommission bestätigt;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Aufgrund der Stellungnahme des Finanzinspektors vom 5. Juli 2019;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Aufgrund des Einverständnisses Unserer Ministerin des Haushalts vom 20. September 2019;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Aufgrund der Stellungnahme der Datenschutzbehörde vom 18. Oktober 2019;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Aufgrund der Auswirkungsanalyse beim Erlass von Vorschriften, die gemäß den Artikeln 6 und 7 des Gesetzes vom 15. Dezember 2013 zur Festlegung verschiedener Bestimmungen in Sachen administrative Vereinfachung durchgeführt worden ist;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Aufgrund des Gutachtens Nr. 66.963/3 des Staatsrates vom 26. Februar 2020, abgegeben in Anwendung von Artikel 84 § 1 Absatz 1 Nr. 2 der am 12. Januar 1973 koordinierten Gesetze über den Staatsrat;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Auf Vorschlag Unserer Ministerin der Volksgesundheit und aufgrund der Stellungnahme der Minister, die im Rat darüber beraten haben,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</w:r>
      <w:r w:rsidRPr="006A4D6B">
        <w:rPr>
          <w:lang w:val="de-DE"/>
        </w:rPr>
        <w:tab/>
        <w:t>Haben Wir beschlossen und erlassen Wir: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Default="006A4D6B">
      <w:pPr>
        <w:rPr>
          <w:lang w:val="de-DE"/>
        </w:rPr>
      </w:pPr>
      <w:r>
        <w:rPr>
          <w:lang w:val="de-DE"/>
        </w:rPr>
        <w:br w:type="page"/>
      </w:r>
    </w:p>
    <w:p w:rsidR="006A4D6B" w:rsidRPr="006A4D6B" w:rsidRDefault="006A4D6B" w:rsidP="00273B4B">
      <w:pPr>
        <w:jc w:val="center"/>
        <w:rPr>
          <w:lang w:val="de-DE"/>
        </w:rPr>
      </w:pPr>
      <w:r w:rsidRPr="006A4D6B">
        <w:rPr>
          <w:lang w:val="de-DE"/>
        </w:rPr>
        <w:t>KAPITEL 1 - </w:t>
      </w:r>
      <w:r w:rsidRPr="006A4D6B">
        <w:rPr>
          <w:i/>
          <w:lang w:val="de-DE"/>
        </w:rPr>
        <w:t>Begriffsbestimmungen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</w:r>
      <w:r w:rsidRPr="006A4D6B">
        <w:rPr>
          <w:b/>
          <w:bCs/>
          <w:lang w:val="de-DE"/>
        </w:rPr>
        <w:t>Artikel 1</w:t>
      </w:r>
      <w:r w:rsidRPr="006A4D6B">
        <w:rPr>
          <w:lang w:val="de-DE"/>
        </w:rPr>
        <w:t> - Für die Anwendung des vorliegenden Erlasses gelten folgende Begriffsbestimmungen: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1. Zentralregister zur Rückverfolgbarkeit: in Artikel 51 § 1 des Gesetzes vom 15. Dezember 2013 über medizinische Hilfsmittel erwähnte Datenbank,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2. FAAG: Föderalagentur für Arzneimittel und Gesundheitsprodukte,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3. Gesetz: Gesetz vom 15. Dezember 2013 über medizinische Hilfsmittel,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4. Verordnung: Verordnung (EU) 2017/745 des Europäischen Parlaments und des Rates vom 5. April 2017 über Medizinprodukte, zur Änderung der Richtlinie 2001/83/EG, der Verordnung (EG) Nr. 178/2002 und der Verordnung (EG) Nr. 1223/2009 und zur Aufhebung der Richtlinien 90/385/EWG und 93/42/EWG des Rates,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5. Berufsfachkraft: in Artikel 33 § 1 Nr. 14 des Gesetzes erwähnte Fachkraft, die mit der Implantation, Entfernung oder Ersetzung medizinischer Geräte beauftragt ist,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6. Ausschuss: in Artikel 51 § 1 Absatz 3 des Gesetzes erwähnter Begleitausschuss,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7. Generalverwalter: Generalverwalter der FAAG,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8. Krankenhäuser: Pflegeeinrichtungen, wie in Artikel 2 des am 10. Juli 2008 koordinierten Gesetzes über die Krankenhäuser und andere Pflegeeinrichtungen bestimmt,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9. UDI: in Artikel 27 der Verordnung erwähnte einmalige Produktkennung.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273B4B">
      <w:pPr>
        <w:jc w:val="center"/>
        <w:rPr>
          <w:i/>
          <w:lang w:val="de-DE"/>
        </w:rPr>
      </w:pPr>
      <w:r w:rsidRPr="006A4D6B">
        <w:rPr>
          <w:lang w:val="de-DE"/>
        </w:rPr>
        <w:t xml:space="preserve">KAPITEL 2 ­ </w:t>
      </w:r>
      <w:r w:rsidRPr="006A4D6B">
        <w:rPr>
          <w:i/>
          <w:lang w:val="de-DE"/>
        </w:rPr>
        <w:t>Zentralregister zur Rückverfolgbarkeit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273B4B">
      <w:pPr>
        <w:jc w:val="center"/>
        <w:rPr>
          <w:lang w:val="de-DE"/>
        </w:rPr>
      </w:pPr>
      <w:r w:rsidRPr="006A4D6B">
        <w:rPr>
          <w:i/>
          <w:iCs/>
          <w:lang w:val="de-DE"/>
        </w:rPr>
        <w:t>Abschnitt 1</w:t>
      </w:r>
      <w:r w:rsidRPr="006A4D6B">
        <w:rPr>
          <w:lang w:val="de-DE"/>
        </w:rPr>
        <w:t xml:space="preserve"> - Anwendungsbereich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</w:r>
      <w:r w:rsidRPr="006A4D6B">
        <w:rPr>
          <w:b/>
          <w:bCs/>
          <w:lang w:val="de-DE"/>
        </w:rPr>
        <w:t>Art. 2</w:t>
      </w:r>
      <w:r w:rsidRPr="006A4D6B">
        <w:rPr>
          <w:lang w:val="de-DE"/>
        </w:rPr>
        <w:t xml:space="preserve"> - Artikel 51 des Gesetzes findet Anwendung auf die in der Anlage aufgeführten medizinischen Geräte.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273B4B">
      <w:pPr>
        <w:jc w:val="center"/>
        <w:rPr>
          <w:lang w:val="de-DE"/>
        </w:rPr>
      </w:pPr>
      <w:r w:rsidRPr="006A4D6B">
        <w:rPr>
          <w:i/>
          <w:lang w:val="de-DE"/>
        </w:rPr>
        <w:t>Abschnitt 2</w:t>
      </w:r>
      <w:r w:rsidRPr="006A4D6B">
        <w:rPr>
          <w:lang w:val="de-DE"/>
        </w:rPr>
        <w:t xml:space="preserve"> - Registrierung von Daten im Register</w:t>
      </w:r>
    </w:p>
    <w:p w:rsidR="006A4D6B" w:rsidRPr="006A4D6B" w:rsidRDefault="006A4D6B" w:rsidP="00273B4B">
      <w:pPr>
        <w:jc w:val="center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</w:r>
      <w:r w:rsidRPr="006A4D6B">
        <w:rPr>
          <w:b/>
          <w:lang w:val="de-DE"/>
        </w:rPr>
        <w:t>Art. 3</w:t>
      </w:r>
      <w:r w:rsidRPr="006A4D6B">
        <w:rPr>
          <w:lang w:val="de-DE"/>
        </w:rPr>
        <w:t xml:space="preserve"> - § 1 ­ Gemäß Artikel 51 § 1 Absatz 1 des Gesetzes ist die Berufsfachkraft verantwortlich für die Registrierung der in Artikel 51 § 4 desselben Gesetzes erwähnten Daten.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§ 2 - Die Daten werden über die Website der FAAG im Register registriert.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217C9E">
      <w:pPr>
        <w:jc w:val="center"/>
        <w:rPr>
          <w:lang w:val="de-DE"/>
        </w:rPr>
      </w:pPr>
      <w:r w:rsidRPr="006A4D6B">
        <w:rPr>
          <w:i/>
          <w:lang w:val="de-DE"/>
        </w:rPr>
        <w:t>Abschnitt 3</w:t>
      </w:r>
      <w:r w:rsidRPr="006A4D6B">
        <w:rPr>
          <w:lang w:val="de-DE"/>
        </w:rPr>
        <w:t xml:space="preserve"> - System zur eindeutigen Identifizierung medizinischer Geräte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</w:r>
      <w:r w:rsidRPr="006A4D6B">
        <w:rPr>
          <w:b/>
          <w:lang w:val="de-DE"/>
        </w:rPr>
        <w:t>Art. 4</w:t>
      </w:r>
      <w:r w:rsidRPr="006A4D6B">
        <w:rPr>
          <w:lang w:val="de-DE"/>
        </w:rPr>
        <w:t xml:space="preserve"> - § 1 ­ Der Code, durch den ein medizinisches Gerät eindeutig identifiziert werden kann, ist die UDI.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§ 2 - Solange keine UDI eingeführt ist, ist der Code zur eindeutigen Identifizierung eines medizinischen Geräts der aus der in Artikel 35</w:t>
      </w:r>
      <w:r w:rsidRPr="006A4D6B">
        <w:rPr>
          <w:i/>
          <w:lang w:val="de-DE"/>
        </w:rPr>
        <w:t>septies</w:t>
      </w:r>
      <w:r w:rsidRPr="006A4D6B">
        <w:rPr>
          <w:lang w:val="de-DE"/>
        </w:rPr>
        <w:t xml:space="preserve"> des am 14. Juli 1994 koordinierten Gesetzes über die Gesundheitspflege- und Entschädigungspflichtversicherung vorgesehenen Notifizierung für Implantate und invasive medizinische Hilfsmittel für eine langfristige Anwendung hervorgegangene Code.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217C9E">
      <w:pPr>
        <w:jc w:val="center"/>
        <w:rPr>
          <w:lang w:val="de-DE"/>
        </w:rPr>
      </w:pPr>
      <w:r w:rsidRPr="006A4D6B">
        <w:rPr>
          <w:i/>
          <w:iCs/>
          <w:lang w:val="de-DE"/>
        </w:rPr>
        <w:t>Abschnitt 4</w:t>
      </w:r>
      <w:r w:rsidRPr="006A4D6B">
        <w:rPr>
          <w:lang w:val="de-DE"/>
        </w:rPr>
        <w:t xml:space="preserve"> - Identifizierung betroffener Personen durch die FAAG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</w:r>
      <w:r w:rsidRPr="006A4D6B">
        <w:rPr>
          <w:b/>
          <w:lang w:val="de-DE"/>
        </w:rPr>
        <w:t>Art. 5</w:t>
      </w:r>
      <w:r w:rsidRPr="006A4D6B">
        <w:rPr>
          <w:lang w:val="de-DE"/>
        </w:rPr>
        <w:t xml:space="preserve"> - § 1 ­ Gemäß Artikel 51 § 8 des Gesetzes kann die FAAG betroffene Personen gemäß den in vorliegendem Artikel beschriebenen Modalitäten identifizieren.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Bevor die FAAG eine Identifizierung vornimmt, nimmt sie mit den Berufsfachkräften, die die Implantation, Entfernung oder Ersetzung des/der betreffenden Geräts/Geräte vorgenommen haben Kontakt auf, sodass sie ihren/ihre Patienten selbst kontaktieren können.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Falls angemessen kann die FAAG zudem eine öffentliche Mitteilung verbreiten, in der Personen, die sich möglicherweise einem Eingriff mit dem/den betreffenden Gerät(en) unterzogen haben, aufgefordert werden, sich bei der FAAG zu melden.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Wenn es nicht möglich ist, die in Absatz 2 erwähnten Berufsfachkräfte zu kontaktieren, und wenn die FAGG gegebenenfalls feststellt, dass sich nach der in Absatz 3 erwähnten Mitteilung nicht alle betroffenen Personen gemeldet haben, kann sie die Identifizierung gemäß Artikel 51 § 8 des Gesetzes vornehmen.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Für die Identifizierung nutzt die FAAG die in Artikel 51 § 4 Nr. 1 des Gesetzes erwähnten Daten.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§ 2 - Die FAAG legt dem in Abschnitt 5 erwähnten Ausschuss ihr Vorhaben, die Identifizierung der betroffenen Personen vorzunehmen, zur Stellungnahme vor.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Der Ausschuss gibt seine Stellungnahme binnen dreißig Tagen ab. Bei unmittelbarer Gefahr für die Gesundheit verlangt die FAAG, dass die Stellungnahme binnen einer Frist von fünf Tagen abgegeben wird.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Wenn der Ausschuss seine Stellungnahme nicht binnen den in vorhergehendem Absatz festgelegten Fristen abgibt, darf die FAAG eine Entscheidung treffen.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§ 3 - Gemäß Artikel 51 § 8 Absatz 2 des Gesetzes schickt die FAAG eine mit Gründen versehene Erklärung zusammen mit der Stellungnahme des Ausschusses an den Nationalen Rat der Ärztekammer.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Dieser verfügt über eine Frist von sieben Tagen, um die FAAG von der eventuellen Bestimmung eines mit der Überwachung der Identifizierung beauftragten Arztes in Kenntnis zu setzen.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§ 4 - Die betroffenen Personen werden von einem Arzt kontaktiert, entweder durch einen Hausbesuch oder durch ein anderes, der Situation angepasstes Kommunikationsmittel.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217C9E">
      <w:pPr>
        <w:jc w:val="center"/>
        <w:rPr>
          <w:lang w:val="de-DE"/>
        </w:rPr>
      </w:pPr>
      <w:r w:rsidRPr="006A4D6B">
        <w:rPr>
          <w:i/>
          <w:iCs/>
          <w:lang w:val="de-DE"/>
        </w:rPr>
        <w:t>Abschnitt 5</w:t>
      </w:r>
      <w:r w:rsidRPr="006A4D6B">
        <w:rPr>
          <w:lang w:val="de-DE"/>
        </w:rPr>
        <w:t xml:space="preserve"> - Begleitausschuss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</w:r>
      <w:r w:rsidRPr="006A4D6B">
        <w:rPr>
          <w:b/>
          <w:bCs/>
          <w:lang w:val="de-DE"/>
        </w:rPr>
        <w:t>Art. 6</w:t>
      </w:r>
      <w:r w:rsidRPr="006A4D6B">
        <w:rPr>
          <w:lang w:val="de-DE"/>
        </w:rPr>
        <w:t xml:space="preserve"> - § 1 ­ Innerhalb der FAAG wird gemäß Artikel 51 § 1 Absätze 3 und 4 ein Begleitausschuss bestimmt.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Der Ausschuss setzt sich aus vier ordentlichen Mitgliedern und vier Ersatzmitgliedern zusammen.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Die Mitglieder des Ausschusses werden vom Generalverwalter für ein Mandat von drei Jahren ernannt.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§ 2 - Die Mitglieder des Ausschusses wählen aus ihrer Mitte einen Vorsitzenden und einen Vizevorsitzenden.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Die Sekretariatsgeschäfte werden von einer oder mehreren vom Generalverwalter oder seinem Beauftragten bestimmten Personen wahrgenommen.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§ 3 - Der Ausschuss kann für die Ausarbeitung seiner Stellungnahmen Arbeitsgruppen einsetzen. Diese Arbeitsgruppen können sich aus auswärtigen Sachverständigen zusammensetzen, die von den Mitgliedern des Ausschusses bestimmt werden.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Bei diesen Sachverständigen handelt es sich um Ärzte oder Fachkräfte der Zahnheilkunde, die an der Implantation, Entfernung oder Ersetzung der betreffenden medizinischen Geräte beteiligt sind.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§ 4 - Der Ausschuss erstellt eine Geschäftsordnung und legt sie dem Minister zur Billigung vor. In der Geschäftsordnung ist insbesondere Folgendes festgelegt: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- das Verfahren für die Einberufung der Mitglieder,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- Regeln in Bezug auf Berufspflichten, insbesondere zur Vermeidung von Interessenkonflikten.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Der Ausschuss tritt auf Einladung des Vorsitzenden des Ausschusses gemäß den Bestimmungen der Geschäftsordnung zusammen.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  <w:sectPr w:rsidR="006A4D6B" w:rsidRPr="006A4D6B" w:rsidSect="00885090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</w:r>
      <w:r w:rsidRPr="006A4D6B">
        <w:rPr>
          <w:b/>
          <w:lang w:val="de-DE"/>
        </w:rPr>
        <w:t>Art. 7</w:t>
      </w:r>
      <w:r w:rsidRPr="006A4D6B">
        <w:rPr>
          <w:lang w:val="de-DE"/>
        </w:rPr>
        <w:t xml:space="preserve"> - Der Ausschuss ist für Folgendes zuständig: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1. Abgabe von Stellungnahmen und Vorschlägen in Bezug auf die Entwicklung technischer Aspekte des Registers,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2. Abgabe von Stellungnahmen in Bezug auf die Nutzung des Registers und die Verarbeitung der in diesem Register enthaltenen personenbezogenen Daten,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3. Abgabe von Stellungnahmen vor Umsetzung des in Artikel 5 erwähnten Identifizierungsverfahrens.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</w:r>
      <w:r w:rsidRPr="006A4D6B">
        <w:rPr>
          <w:b/>
          <w:lang w:val="de-DE"/>
        </w:rPr>
        <w:t>Art. 8</w:t>
      </w:r>
      <w:r w:rsidRPr="006A4D6B">
        <w:rPr>
          <w:lang w:val="de-DE"/>
        </w:rPr>
        <w:t xml:space="preserve"> - Die Mitglieder des Ausschusses und die Sachverständigen, die dem Statut der Staatsbediensteten nicht unterliegen, haben Anrecht auf eine Vergütung, deren Höhe und Bedingungen vom Minister festgelegt werden.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7A3448">
      <w:pPr>
        <w:jc w:val="center"/>
        <w:rPr>
          <w:lang w:val="de-DE"/>
        </w:rPr>
      </w:pPr>
      <w:r w:rsidRPr="006A4D6B">
        <w:rPr>
          <w:lang w:val="de-DE"/>
        </w:rPr>
        <w:t xml:space="preserve">KAPITEL 3 - </w:t>
      </w:r>
      <w:r w:rsidRPr="006A4D6B">
        <w:rPr>
          <w:i/>
          <w:lang w:val="de-DE"/>
        </w:rPr>
        <w:t>Schlussbestimmungen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</w:r>
      <w:r w:rsidRPr="006A4D6B">
        <w:rPr>
          <w:b/>
          <w:lang w:val="de-DE"/>
        </w:rPr>
        <w:t>Art. 9</w:t>
      </w:r>
      <w:r w:rsidRPr="006A4D6B">
        <w:rPr>
          <w:lang w:val="de-DE"/>
        </w:rPr>
        <w:t xml:space="preserve"> - Folgende Bestimmungen treten am ersten Tag des Monats nach Ablauf einer Frist von sechs Monaten, die am Tag nach der Veröffentlichung des vorliegenden Erlasses im </w:t>
      </w:r>
      <w:r w:rsidRPr="006A4D6B">
        <w:rPr>
          <w:i/>
          <w:iCs/>
          <w:lang w:val="de-DE"/>
        </w:rPr>
        <w:t>Belgischen Staatsblatt</w:t>
      </w:r>
      <w:r w:rsidRPr="006A4D6B">
        <w:rPr>
          <w:lang w:val="de-DE"/>
        </w:rPr>
        <w:t xml:space="preserve"> beginnt, in Kraft: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1. Artikel 51 des Gesetzes vom 15. Dezember 2013 über medizinische Hilfsmittel,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2. vorliegender Erlass.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</w:r>
      <w:r w:rsidRPr="006A4D6B">
        <w:rPr>
          <w:b/>
          <w:bCs/>
          <w:lang w:val="de-DE"/>
        </w:rPr>
        <w:t>Art. 10</w:t>
      </w:r>
      <w:r w:rsidRPr="006A4D6B">
        <w:rPr>
          <w:lang w:val="de-DE"/>
        </w:rPr>
        <w:t xml:space="preserve"> - Der für die Volksgesundheit zuständige Minister ist mit der Ausführung des vorliegenden Erlasses beauftragt.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Gegeben zu Brüssel, den 27. September 2020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7A3448">
      <w:pPr>
        <w:jc w:val="center"/>
        <w:rPr>
          <w:lang w:val="de-DE"/>
        </w:rPr>
      </w:pPr>
      <w:r w:rsidRPr="006A4D6B">
        <w:rPr>
          <w:lang w:val="de-DE"/>
        </w:rPr>
        <w:t>PHILIPPE</w:t>
      </w:r>
    </w:p>
    <w:p w:rsidR="006A4D6B" w:rsidRPr="006A4D6B" w:rsidRDefault="006A4D6B" w:rsidP="007A3448">
      <w:pPr>
        <w:jc w:val="center"/>
        <w:rPr>
          <w:lang w:val="de-DE"/>
        </w:rPr>
      </w:pPr>
    </w:p>
    <w:p w:rsidR="006A4D6B" w:rsidRPr="006A4D6B" w:rsidRDefault="006A4D6B" w:rsidP="007A3448">
      <w:pPr>
        <w:jc w:val="center"/>
        <w:rPr>
          <w:lang w:val="de-DE"/>
        </w:rPr>
      </w:pPr>
      <w:r w:rsidRPr="006A4D6B">
        <w:rPr>
          <w:lang w:val="de-DE"/>
        </w:rPr>
        <w:t>Von Königs wegen:</w:t>
      </w:r>
    </w:p>
    <w:p w:rsidR="006A4D6B" w:rsidRPr="006A4D6B" w:rsidRDefault="006A4D6B" w:rsidP="007A3448">
      <w:pPr>
        <w:jc w:val="center"/>
        <w:rPr>
          <w:lang w:val="de-DE"/>
        </w:rPr>
      </w:pPr>
    </w:p>
    <w:p w:rsidR="006A4D6B" w:rsidRPr="006A4D6B" w:rsidRDefault="006A4D6B" w:rsidP="007A3448">
      <w:pPr>
        <w:jc w:val="center"/>
        <w:rPr>
          <w:lang w:val="de-DE"/>
        </w:rPr>
      </w:pPr>
      <w:r w:rsidRPr="006A4D6B">
        <w:rPr>
          <w:lang w:val="de-DE"/>
        </w:rPr>
        <w:t>Die Ministerin der Volksgesundheit</w:t>
      </w:r>
    </w:p>
    <w:p w:rsidR="006A4D6B" w:rsidRPr="006A4D6B" w:rsidRDefault="006A4D6B" w:rsidP="007A3448">
      <w:pPr>
        <w:jc w:val="center"/>
        <w:rPr>
          <w:lang w:val="de-DE"/>
        </w:rPr>
      </w:pPr>
      <w:r w:rsidRPr="006A4D6B">
        <w:rPr>
          <w:lang w:val="de-DE"/>
        </w:rPr>
        <w:t>M. DE BLOCK</w:t>
      </w:r>
    </w:p>
    <w:p w:rsidR="006A4D6B" w:rsidRPr="006A4D6B" w:rsidRDefault="006A4D6B" w:rsidP="007A3448">
      <w:pPr>
        <w:jc w:val="center"/>
        <w:rPr>
          <w:lang w:val="de-DE"/>
        </w:rPr>
      </w:pPr>
      <w:r w:rsidRPr="006A4D6B">
        <w:rPr>
          <w:lang w:val="de-DE"/>
        </w:rPr>
        <w:t>________</w:t>
      </w:r>
    </w:p>
    <w:p w:rsidR="006A4D6B" w:rsidRPr="006A4D6B" w:rsidRDefault="006A4D6B" w:rsidP="007A3448">
      <w:pPr>
        <w:jc w:val="center"/>
        <w:rPr>
          <w:lang w:val="de-DE"/>
        </w:rPr>
      </w:pPr>
    </w:p>
    <w:p w:rsidR="006A4D6B" w:rsidRPr="006A4D6B" w:rsidRDefault="006A4D6B" w:rsidP="007A3448">
      <w:pPr>
        <w:jc w:val="center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  <w:sectPr w:rsidR="006A4D6B" w:rsidRPr="006A4D6B" w:rsidSect="00885090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:rsidR="006A4D6B" w:rsidRPr="006A4D6B" w:rsidRDefault="006A4D6B" w:rsidP="007A3448">
      <w:pPr>
        <w:jc w:val="center"/>
        <w:rPr>
          <w:lang w:val="de-DE"/>
        </w:rPr>
      </w:pPr>
      <w:r w:rsidRPr="006A4D6B">
        <w:rPr>
          <w:lang w:val="de-DE"/>
        </w:rPr>
        <w:t>ANLAGE - Liste der in Kapitel 1 des vorliegenden Erlasses erwähnten medizinischen Geräte</w:t>
      </w:r>
    </w:p>
    <w:p w:rsidR="006A4D6B" w:rsidRPr="006A4D6B" w:rsidRDefault="006A4D6B" w:rsidP="007A3448">
      <w:pPr>
        <w:jc w:val="center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885090" w:rsidRDefault="006A4D6B" w:rsidP="00AD7934">
      <w:pPr>
        <w:jc w:val="both"/>
        <w:rPr>
          <w:lang w:val="fr-BE"/>
        </w:rPr>
      </w:pPr>
      <w:r w:rsidRPr="006A4D6B">
        <w:rPr>
          <w:lang w:val="de-DE"/>
        </w:rPr>
        <w:tab/>
      </w:r>
      <w:r w:rsidRPr="00885090">
        <w:rPr>
          <w:lang w:val="fr-BE"/>
        </w:rPr>
        <w:t>- Stent,</w:t>
      </w:r>
    </w:p>
    <w:p w:rsidR="006A4D6B" w:rsidRPr="00885090" w:rsidRDefault="006A4D6B" w:rsidP="00AD7934">
      <w:pPr>
        <w:jc w:val="both"/>
        <w:rPr>
          <w:lang w:val="fr-BE"/>
        </w:rPr>
      </w:pPr>
    </w:p>
    <w:p w:rsidR="006A4D6B" w:rsidRPr="00885090" w:rsidRDefault="006A4D6B" w:rsidP="00AD7934">
      <w:pPr>
        <w:jc w:val="both"/>
        <w:rPr>
          <w:lang w:val="fr-BE"/>
        </w:rPr>
      </w:pPr>
      <w:r w:rsidRPr="00885090">
        <w:rPr>
          <w:lang w:val="fr-BE"/>
        </w:rPr>
        <w:tab/>
        <w:t>- Neurostimulator,</w:t>
      </w:r>
    </w:p>
    <w:p w:rsidR="006A4D6B" w:rsidRPr="00885090" w:rsidRDefault="006A4D6B" w:rsidP="00AD7934">
      <w:pPr>
        <w:jc w:val="both"/>
        <w:rPr>
          <w:lang w:val="fr-BE"/>
        </w:rPr>
      </w:pPr>
    </w:p>
    <w:p w:rsidR="006A4D6B" w:rsidRPr="00885090" w:rsidRDefault="006A4D6B" w:rsidP="00AD7934">
      <w:pPr>
        <w:jc w:val="both"/>
        <w:rPr>
          <w:lang w:val="fr-BE"/>
        </w:rPr>
      </w:pPr>
      <w:r w:rsidRPr="00885090">
        <w:rPr>
          <w:lang w:val="fr-BE"/>
        </w:rPr>
        <w:tab/>
        <w:t>- Cochlea-Implantat,</w:t>
      </w:r>
    </w:p>
    <w:p w:rsidR="006A4D6B" w:rsidRPr="00885090" w:rsidRDefault="006A4D6B" w:rsidP="00AD7934">
      <w:pPr>
        <w:jc w:val="both"/>
        <w:rPr>
          <w:lang w:val="fr-B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885090">
        <w:rPr>
          <w:lang w:val="fr-BE"/>
        </w:rPr>
        <w:tab/>
      </w:r>
      <w:r w:rsidRPr="006A4D6B">
        <w:rPr>
          <w:lang w:val="de-DE"/>
        </w:rPr>
        <w:t>- Liquorshunt,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- orthopädisches Implantat,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- Implantat zu ästhetischen oder rekonstruktiven Zwecken, das in den Anwendungsbereich der Richtlinie 93/42/EWG über Medizinprodukte oder der Verordnung fällt,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- Elektrode und Biosensor,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- mechanisches kardiales Implantat,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- elektronisches und elektrisches kardiales Implantat,</w:t>
      </w:r>
    </w:p>
    <w:p w:rsidR="006A4D6B" w:rsidRPr="006A4D6B" w:rsidRDefault="006A4D6B" w:rsidP="00AD7934">
      <w:pPr>
        <w:jc w:val="both"/>
        <w:rPr>
          <w:lang w:val="de-DE"/>
        </w:rPr>
      </w:pPr>
    </w:p>
    <w:p w:rsidR="006A4D6B" w:rsidRPr="006A4D6B" w:rsidRDefault="006A4D6B" w:rsidP="00AD7934">
      <w:pPr>
        <w:jc w:val="both"/>
        <w:rPr>
          <w:lang w:val="de-DE"/>
        </w:rPr>
      </w:pPr>
      <w:r w:rsidRPr="006A4D6B">
        <w:rPr>
          <w:lang w:val="de-DE"/>
        </w:rPr>
        <w:tab/>
        <w:t>- ophthalmisches Implantat.</w:t>
      </w:r>
    </w:p>
    <w:p w:rsidR="006A4D6B" w:rsidRPr="006A4D6B" w:rsidRDefault="006A4D6B" w:rsidP="00AD7934">
      <w:pPr>
        <w:jc w:val="both"/>
        <w:rPr>
          <w:lang w:val="de-DE"/>
        </w:rPr>
      </w:pPr>
    </w:p>
    <w:sectPr w:rsidR="006A4D6B" w:rsidRPr="006A4D6B" w:rsidSect="00885090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Gra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A4D6B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2F4EB3"/>
  <w15:docId w15:val="{1DD7F588-F4FD-4621-B8B2-127D67608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A4D6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4D6B"/>
    <w:rPr>
      <w:rFonts w:ascii="Segoe UI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1534</Words>
  <Characters>8442</Characters>
  <Application>Microsoft Office Word</Application>
  <DocSecurity>4</DocSecurity>
  <Lines>70</Lines>
  <Paragraphs>19</Paragraphs>
  <ScaleCrop>false</ScaleCrop>
  <Company/>
  <LinksUpToDate>false</LinksUpToDate>
  <CharactersWithSpaces>9957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2</cp:revision>
  <cp:lastPrinted>2023-01-25T08:28:00Z</cp:lastPrinted>
  <dcterms:created xsi:type="dcterms:W3CDTF">2023-01-25T08:29:00Z</dcterms:created>
  <dcterms:modified xsi:type="dcterms:W3CDTF">2023-01-25T08:29:00Z</dcterms:modified>
</cp:coreProperties>
</file>