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A04" w:rsidRPr="00E76A04" w:rsidRDefault="00E76A04" w:rsidP="00E76A04">
      <w:pPr>
        <w:jc w:val="both"/>
        <w:rPr>
          <w:b/>
          <w:bCs/>
          <w:lang w:val="de-DE"/>
        </w:rPr>
      </w:pPr>
      <w:r w:rsidRPr="00E76A04">
        <w:rPr>
          <w:b/>
          <w:lang w:val="de-DE"/>
        </w:rPr>
        <w:t>12. JUNI 2017 - Königlicher Erlass zur Abänderung des Königlichen Erlasses vom 14. Januar 2002 über die Qualität des Wassers für den menschlichen Gebrauch, das in Lebensmitteleinrichtungen verpackt wird oder für die Herstellung und/oder das Inverkehrbringen von Lebensmitteln verwendet wird</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76A04">
        <w:rPr>
          <w:lang w:val="de-DE"/>
        </w:rPr>
        <w:t>15. Juli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E76A04" w:rsidRPr="00E76A04" w:rsidRDefault="00E76A04" w:rsidP="00B6632E">
      <w:pPr>
        <w:jc w:val="center"/>
        <w:rPr>
          <w:b/>
          <w:bCs/>
          <w:lang w:val="de-DE"/>
        </w:rPr>
      </w:pPr>
      <w:r w:rsidRPr="00E76A04">
        <w:rPr>
          <w:b/>
          <w:lang w:val="de-DE"/>
        </w:rPr>
        <w:lastRenderedPageBreak/>
        <w:t>FÖDERALER ÖFFENTLICHER DIENST VOLKSGESUNDHEIT, SICHERHEIT DER NAHRUNGSMITTELKETTE UND UMWELT</w:t>
      </w:r>
    </w:p>
    <w:p w:rsidR="00E76A04" w:rsidRPr="00E76A04" w:rsidRDefault="00E76A04" w:rsidP="00B6632E">
      <w:pPr>
        <w:jc w:val="center"/>
        <w:rPr>
          <w:b/>
          <w:bCs/>
          <w:lang w:val="de-DE"/>
        </w:rPr>
      </w:pPr>
    </w:p>
    <w:p w:rsidR="00E76A04" w:rsidRPr="00E76A04" w:rsidRDefault="00E76A04" w:rsidP="00B6632E">
      <w:pPr>
        <w:rPr>
          <w:lang w:val="de-DE"/>
        </w:rPr>
      </w:pPr>
    </w:p>
    <w:p w:rsidR="00E76A04" w:rsidRPr="00E76A04" w:rsidRDefault="00E76A04" w:rsidP="00B6632E">
      <w:pPr>
        <w:jc w:val="both"/>
        <w:rPr>
          <w:b/>
          <w:bCs/>
          <w:lang w:val="de-DE"/>
        </w:rPr>
      </w:pPr>
      <w:r w:rsidRPr="00E76A04">
        <w:rPr>
          <w:b/>
          <w:lang w:val="de-DE"/>
        </w:rPr>
        <w:t>12. JUNI 2017 - Königlicher Erlass zur Abänderung des Königlichen Erlasses vom 14. Januar 2002 über die Qualität des Wassers für den menschlichen Gebrauch, das in Lebensmitteleinrichtungen verpackt wird oder für die Herstellung und/oder das Inverkehrbringen von Lebensmitteln verwendet wird</w:t>
      </w:r>
    </w:p>
    <w:p w:rsidR="00E76A04" w:rsidRPr="00E76A04" w:rsidRDefault="00E76A04" w:rsidP="00B6632E">
      <w:pPr>
        <w:rPr>
          <w:b/>
          <w:bCs/>
          <w:lang w:val="de-DE"/>
        </w:rPr>
      </w:pPr>
    </w:p>
    <w:p w:rsidR="00E76A04" w:rsidRPr="00E76A04" w:rsidRDefault="00E76A04" w:rsidP="00B6632E">
      <w:pPr>
        <w:rPr>
          <w:b/>
          <w:bCs/>
          <w:lang w:val="de-DE"/>
        </w:rPr>
      </w:pPr>
    </w:p>
    <w:p w:rsidR="00E76A04" w:rsidRPr="00E76A04" w:rsidRDefault="00E76A04" w:rsidP="00B6632E">
      <w:pPr>
        <w:rPr>
          <w:lang w:val="de-DE"/>
        </w:rPr>
      </w:pPr>
      <w:r w:rsidRPr="00E76A04">
        <w:rPr>
          <w:lang w:val="de-DE"/>
        </w:rPr>
        <w:tab/>
      </w:r>
      <w:r w:rsidRPr="00E76A04">
        <w:rPr>
          <w:lang w:val="de-DE"/>
        </w:rPr>
        <w:tab/>
      </w:r>
      <w:r w:rsidRPr="00E76A04">
        <w:rPr>
          <w:lang w:val="de-DE"/>
        </w:rPr>
        <w:tab/>
        <w:t>PHILIPPE, König der Belgier,</w:t>
      </w:r>
    </w:p>
    <w:p w:rsidR="00E76A04" w:rsidRPr="00E76A04" w:rsidRDefault="00E76A04" w:rsidP="00B6632E">
      <w:pPr>
        <w:rPr>
          <w:lang w:val="de-DE"/>
        </w:rPr>
      </w:pPr>
    </w:p>
    <w:p w:rsidR="00E76A04" w:rsidRPr="00E76A04" w:rsidRDefault="00E76A04" w:rsidP="00B6632E">
      <w:pPr>
        <w:rPr>
          <w:lang w:val="de-DE"/>
        </w:rPr>
      </w:pPr>
      <w:r w:rsidRPr="00E76A04">
        <w:rPr>
          <w:lang w:val="de-DE"/>
        </w:rPr>
        <w:tab/>
      </w:r>
      <w:r w:rsidRPr="00E76A04">
        <w:rPr>
          <w:lang w:val="de-DE"/>
        </w:rPr>
        <w:tab/>
        <w:t xml:space="preserve">Allen Gegenwärtigen und </w:t>
      </w:r>
      <w:proofErr w:type="spellStart"/>
      <w:r w:rsidRPr="00E76A04">
        <w:rPr>
          <w:lang w:val="de-DE"/>
        </w:rPr>
        <w:t>Zukünftigen</w:t>
      </w:r>
      <w:proofErr w:type="spellEnd"/>
      <w:r w:rsidRPr="00E76A04">
        <w:rPr>
          <w:lang w:val="de-DE"/>
        </w:rPr>
        <w:t>, Unser Gruß!</w:t>
      </w:r>
    </w:p>
    <w:p w:rsidR="00E76A04" w:rsidRPr="00E76A04" w:rsidRDefault="00E76A04" w:rsidP="00B6632E">
      <w:pPr>
        <w:rPr>
          <w:lang w:val="de-DE"/>
        </w:rPr>
      </w:pPr>
    </w:p>
    <w:p w:rsidR="00E76A04" w:rsidRPr="00E76A04" w:rsidRDefault="00E76A04" w:rsidP="00B6632E">
      <w:pPr>
        <w:rPr>
          <w:lang w:val="de-DE"/>
        </w:rPr>
      </w:pPr>
    </w:p>
    <w:p w:rsidR="00E76A04" w:rsidRPr="00E76A04" w:rsidRDefault="00E76A04" w:rsidP="00B6632E">
      <w:pPr>
        <w:jc w:val="both"/>
        <w:rPr>
          <w:lang w:val="de-DE"/>
        </w:rPr>
      </w:pPr>
      <w:r w:rsidRPr="00E76A04">
        <w:rPr>
          <w:lang w:val="de-DE"/>
        </w:rPr>
        <w:tab/>
        <w:t>Aufgrund des Gesetzes vom 14. August 1933 über den Trinkwasserschutz, des Artikels 1 Absatz 1 Nr. 1;</w:t>
      </w:r>
    </w:p>
    <w:p w:rsidR="00E76A04" w:rsidRPr="00E76A04" w:rsidRDefault="00E76A04" w:rsidP="00B6632E">
      <w:pPr>
        <w:jc w:val="both"/>
        <w:rPr>
          <w:lang w:val="de-DE"/>
        </w:rPr>
      </w:pPr>
    </w:p>
    <w:p w:rsidR="00E76A04" w:rsidRPr="00E76A04" w:rsidRDefault="00E76A04" w:rsidP="00B6632E">
      <w:pPr>
        <w:jc w:val="both"/>
        <w:rPr>
          <w:lang w:val="de-DE"/>
        </w:rPr>
      </w:pPr>
      <w:r w:rsidRPr="00E76A04">
        <w:rPr>
          <w:lang w:val="de-DE"/>
        </w:rPr>
        <w:tab/>
        <w:t>Aufgrund des Gesetzes vom 24. Januar 1977 über den Schutz der Gesundheit der Verbraucher im Bereich der Lebensmittel und anderer Waren, der Artikel 2 und 5 § 2;</w:t>
      </w:r>
    </w:p>
    <w:p w:rsidR="00E76A04" w:rsidRPr="00E76A04" w:rsidRDefault="00E76A04" w:rsidP="00B6632E">
      <w:pPr>
        <w:jc w:val="both"/>
        <w:rPr>
          <w:lang w:val="de-DE"/>
        </w:rPr>
      </w:pPr>
    </w:p>
    <w:p w:rsidR="00E76A04" w:rsidRPr="00E76A04" w:rsidRDefault="00E76A04" w:rsidP="00B6632E">
      <w:pPr>
        <w:jc w:val="both"/>
        <w:rPr>
          <w:lang w:val="de-DE"/>
        </w:rPr>
      </w:pPr>
      <w:r w:rsidRPr="00E76A04">
        <w:rPr>
          <w:lang w:val="de-DE"/>
        </w:rPr>
        <w:tab/>
        <w:t>Aufgrund des Königlichen Erlasses vom 14. Januar 2002 über die Qualität des Wassers für den menschlichen Gebrauch, das in Lebensmitteleinrichtungen verpackt wird oder für die Herstellung und/oder das Inverkehrbringen von Lebensmitteln verwendet wird;</w:t>
      </w:r>
    </w:p>
    <w:p w:rsidR="00E76A04" w:rsidRPr="00E76A04" w:rsidRDefault="00E76A04" w:rsidP="00B6632E">
      <w:pPr>
        <w:jc w:val="both"/>
        <w:rPr>
          <w:lang w:val="de-DE"/>
        </w:rPr>
      </w:pPr>
    </w:p>
    <w:p w:rsidR="00E76A04" w:rsidRPr="00E76A04" w:rsidRDefault="00E76A04" w:rsidP="00B6632E">
      <w:pPr>
        <w:jc w:val="both"/>
        <w:rPr>
          <w:lang w:val="de-DE"/>
        </w:rPr>
      </w:pPr>
      <w:r w:rsidRPr="00E76A04">
        <w:rPr>
          <w:lang w:val="de-DE"/>
        </w:rPr>
        <w:tab/>
        <w:t>Aufgrund der Stellungnahme des Finanzinspektors vom 22. Dezember 2016;</w:t>
      </w:r>
    </w:p>
    <w:p w:rsidR="00E76A04" w:rsidRPr="00E76A04" w:rsidRDefault="00E76A04" w:rsidP="00B6632E">
      <w:pPr>
        <w:jc w:val="both"/>
        <w:rPr>
          <w:lang w:val="de-DE"/>
        </w:rPr>
      </w:pPr>
    </w:p>
    <w:p w:rsidR="00E76A04" w:rsidRPr="00E76A04" w:rsidRDefault="00E76A04" w:rsidP="00B6632E">
      <w:pPr>
        <w:jc w:val="both"/>
        <w:rPr>
          <w:lang w:val="de-DE"/>
        </w:rPr>
      </w:pPr>
      <w:r w:rsidRPr="00E76A04">
        <w:rPr>
          <w:lang w:val="de-DE"/>
        </w:rPr>
        <w:tab/>
        <w:t>Aufgrund des Gutachtens Nr. 60.935/3 des Staatsrates vom 6. März 2017, abgegeben in Anwendung von Artikel 84 § 1 Absatz 1 Nr. 2 der am 12. Januar 1973 koordinierten Gesetze über den Staatsrat;</w:t>
      </w:r>
    </w:p>
    <w:p w:rsidR="00E76A04" w:rsidRPr="00E76A04" w:rsidRDefault="00E76A04" w:rsidP="00B6632E">
      <w:pPr>
        <w:jc w:val="both"/>
        <w:rPr>
          <w:lang w:val="de-DE"/>
        </w:rPr>
      </w:pPr>
    </w:p>
    <w:p w:rsidR="00E76A04" w:rsidRPr="00E76A04" w:rsidRDefault="00E76A04" w:rsidP="00B6632E">
      <w:pPr>
        <w:jc w:val="both"/>
        <w:rPr>
          <w:lang w:val="de-DE"/>
        </w:rPr>
      </w:pPr>
      <w:r w:rsidRPr="00E76A04">
        <w:rPr>
          <w:lang w:val="de-DE"/>
        </w:rPr>
        <w:tab/>
        <w:t>Auf Vorschlag der Ministerin der Volksgesundheit und des Ministers der Land</w:t>
      </w:r>
      <w:r w:rsidRPr="00E76A04">
        <w:rPr>
          <w:lang w:val="de-DE"/>
        </w:rPr>
        <w:softHyphen/>
        <w:t>wirtschaft</w:t>
      </w:r>
    </w:p>
    <w:p w:rsidR="00E76A04" w:rsidRPr="00E76A04" w:rsidRDefault="00E76A04" w:rsidP="00B6632E">
      <w:pPr>
        <w:jc w:val="both"/>
        <w:rPr>
          <w:lang w:val="de-DE"/>
        </w:rPr>
      </w:pPr>
    </w:p>
    <w:p w:rsidR="00E76A04" w:rsidRPr="00E76A04" w:rsidRDefault="00E76A04" w:rsidP="00B6632E">
      <w:pPr>
        <w:jc w:val="both"/>
        <w:rPr>
          <w:lang w:val="de-DE"/>
        </w:rPr>
      </w:pPr>
    </w:p>
    <w:p w:rsidR="00E76A04" w:rsidRPr="00E76A04" w:rsidRDefault="00E76A04" w:rsidP="00B6632E">
      <w:pPr>
        <w:jc w:val="both"/>
        <w:rPr>
          <w:lang w:val="de-DE"/>
        </w:rPr>
      </w:pPr>
      <w:r w:rsidRPr="00E76A04">
        <w:rPr>
          <w:lang w:val="de-DE"/>
        </w:rPr>
        <w:tab/>
      </w:r>
      <w:r w:rsidRPr="00E76A04">
        <w:rPr>
          <w:lang w:val="de-DE"/>
        </w:rPr>
        <w:tab/>
        <w:t>Haben Wir beschlossen und erlassen Wir:</w:t>
      </w:r>
    </w:p>
    <w:p w:rsidR="00E76A04" w:rsidRPr="00E76A04" w:rsidRDefault="00E76A04" w:rsidP="00B6632E">
      <w:pPr>
        <w:jc w:val="both"/>
        <w:rPr>
          <w:lang w:val="de-DE"/>
        </w:rPr>
      </w:pPr>
    </w:p>
    <w:p w:rsidR="00E76A04" w:rsidRPr="00E76A04" w:rsidRDefault="00E76A04" w:rsidP="00B6632E">
      <w:pPr>
        <w:jc w:val="both"/>
        <w:rPr>
          <w:lang w:val="de-DE"/>
        </w:rPr>
      </w:pPr>
    </w:p>
    <w:p w:rsidR="00E76A04" w:rsidRPr="00E76A04" w:rsidRDefault="00E76A04" w:rsidP="00B6632E">
      <w:pPr>
        <w:jc w:val="both"/>
        <w:rPr>
          <w:lang w:val="de-DE"/>
        </w:rPr>
      </w:pPr>
      <w:r w:rsidRPr="00E76A04">
        <w:rPr>
          <w:lang w:val="de-DE"/>
        </w:rPr>
        <w:tab/>
      </w:r>
      <w:r w:rsidRPr="00E76A04">
        <w:rPr>
          <w:b/>
          <w:bCs/>
          <w:lang w:val="de-DE"/>
        </w:rPr>
        <w:t>Artikel 1 -</w:t>
      </w:r>
      <w:r w:rsidRPr="00E76A04">
        <w:rPr>
          <w:lang w:val="de-DE"/>
        </w:rPr>
        <w:t xml:space="preserve"> Vorliegender Erlass dient der Umsetzung der Richtlinie 2015/1787 der Kommission vom 6. Oktober 2015 zur Änderung der Anhänge II und III der Richt</w:t>
      </w:r>
      <w:r w:rsidRPr="00E76A04">
        <w:rPr>
          <w:lang w:val="de-DE"/>
        </w:rPr>
        <w:softHyphen/>
        <w:t>linie 98/83/EG des Rates über die Qualität von Wasser für den menschlichen Gebrauch.</w:t>
      </w:r>
    </w:p>
    <w:p w:rsidR="00E76A04" w:rsidRPr="00E76A04" w:rsidRDefault="00E76A04" w:rsidP="00B6632E">
      <w:pPr>
        <w:jc w:val="both"/>
        <w:rPr>
          <w:lang w:val="de-DE"/>
        </w:rPr>
      </w:pPr>
    </w:p>
    <w:p w:rsidR="00E76A04" w:rsidRPr="00E76A04" w:rsidRDefault="00E76A04" w:rsidP="00B6632E">
      <w:pPr>
        <w:jc w:val="both"/>
        <w:rPr>
          <w:lang w:val="de-DE"/>
        </w:rPr>
      </w:pPr>
    </w:p>
    <w:p w:rsidR="00E76A04" w:rsidRPr="00E76A04" w:rsidRDefault="00E76A04" w:rsidP="00B6632E">
      <w:pPr>
        <w:jc w:val="both"/>
        <w:rPr>
          <w:lang w:val="de-DE"/>
        </w:rPr>
      </w:pPr>
      <w:r w:rsidRPr="00E76A04">
        <w:rPr>
          <w:lang w:val="de-DE"/>
        </w:rPr>
        <w:tab/>
      </w:r>
      <w:r w:rsidRPr="00E76A04">
        <w:rPr>
          <w:b/>
          <w:lang w:val="de-DE"/>
        </w:rPr>
        <w:t>Art. 2 </w:t>
      </w:r>
      <w:r w:rsidRPr="00E76A04">
        <w:rPr>
          <w:lang w:val="de-DE"/>
        </w:rPr>
        <w:t>- In den Königlichen Erlass vom 14. Januar 2002 über die Qualität des Wassers für den menschlichen Gebrauch, das in Lebensmitteleinrichtungen verpackt wird oder für die Herstellung und/oder das Inverkehrbringen von Lebensmitteln verwendet wird, wird ein Artikel 1/1 mit folgendem Wortlaut eingefügt:</w:t>
      </w:r>
    </w:p>
    <w:p w:rsidR="00E76A04" w:rsidRPr="00E76A04" w:rsidRDefault="00E76A04" w:rsidP="00B6632E">
      <w:pPr>
        <w:jc w:val="both"/>
        <w:rPr>
          <w:lang w:val="de-DE"/>
        </w:rPr>
      </w:pPr>
    </w:p>
    <w:p w:rsidR="00E76A04" w:rsidRPr="00E76A04" w:rsidRDefault="00E76A04" w:rsidP="00B6632E">
      <w:pPr>
        <w:jc w:val="both"/>
        <w:rPr>
          <w:lang w:val="de-DE"/>
        </w:rPr>
      </w:pPr>
      <w:r w:rsidRPr="00E76A04">
        <w:rPr>
          <w:lang w:val="de-DE"/>
        </w:rPr>
        <w:tab/>
        <w:t>"Art. 1/1 - Vorliegender Erlass dient der Umsetzung der Richtlinie 98/83/EG des Rates vom 3. November 1998 über die Qualität von Wasser für den menschlichen Gebrauch.</w:t>
      </w:r>
    </w:p>
    <w:p w:rsidR="00E76A04" w:rsidRPr="00E76A04" w:rsidRDefault="00E76A04" w:rsidP="00B6632E">
      <w:pPr>
        <w:jc w:val="both"/>
        <w:rPr>
          <w:lang w:val="de-DE"/>
        </w:rPr>
      </w:pPr>
    </w:p>
    <w:p w:rsidR="00E76A04" w:rsidRPr="00E76A04" w:rsidRDefault="00E76A04" w:rsidP="00B6632E">
      <w:pPr>
        <w:jc w:val="both"/>
        <w:rPr>
          <w:lang w:val="de-DE"/>
        </w:rPr>
      </w:pPr>
    </w:p>
    <w:p w:rsidR="00E76A04" w:rsidRPr="00E76A04" w:rsidRDefault="00E76A04" w:rsidP="00B6632E">
      <w:pPr>
        <w:jc w:val="both"/>
        <w:rPr>
          <w:lang w:val="de-DE"/>
        </w:rPr>
      </w:pPr>
      <w:r w:rsidRPr="00E76A04">
        <w:rPr>
          <w:lang w:val="de-DE"/>
        </w:rPr>
        <w:tab/>
      </w:r>
      <w:r w:rsidRPr="00E76A04">
        <w:rPr>
          <w:b/>
          <w:lang w:val="de-DE"/>
        </w:rPr>
        <w:t>Art. 3 </w:t>
      </w:r>
      <w:r w:rsidRPr="00E76A04">
        <w:rPr>
          <w:lang w:val="de-DE"/>
        </w:rPr>
        <w:t>- [</w:t>
      </w:r>
      <w:r w:rsidRPr="00E76A04">
        <w:rPr>
          <w:i/>
          <w:iCs/>
          <w:lang w:val="de-DE"/>
        </w:rPr>
        <w:t>Abänderung des niederländischen Textes</w:t>
      </w:r>
      <w:r w:rsidRPr="00E76A04">
        <w:rPr>
          <w:lang w:val="de-DE"/>
        </w:rPr>
        <w:t>]</w:t>
      </w:r>
    </w:p>
    <w:p w:rsidR="00E76A04" w:rsidRPr="00E76A04" w:rsidRDefault="00E76A04" w:rsidP="00B6632E">
      <w:pPr>
        <w:jc w:val="both"/>
        <w:rPr>
          <w:lang w:val="de-DE"/>
        </w:rPr>
      </w:pPr>
    </w:p>
    <w:p w:rsidR="00E76A04" w:rsidRPr="00E76A04" w:rsidRDefault="00E76A04" w:rsidP="00B6632E">
      <w:pPr>
        <w:jc w:val="both"/>
        <w:rPr>
          <w:lang w:val="de-DE"/>
        </w:rPr>
      </w:pPr>
    </w:p>
    <w:p w:rsidR="00E76A04" w:rsidRPr="00E76A04" w:rsidRDefault="00E76A04" w:rsidP="00B6632E">
      <w:pPr>
        <w:jc w:val="both"/>
        <w:rPr>
          <w:lang w:val="de-DE"/>
        </w:rPr>
      </w:pPr>
      <w:r w:rsidRPr="00E76A04">
        <w:rPr>
          <w:lang w:val="de-DE"/>
        </w:rPr>
        <w:tab/>
      </w:r>
      <w:r w:rsidRPr="00E76A04">
        <w:rPr>
          <w:b/>
          <w:lang w:val="de-DE"/>
        </w:rPr>
        <w:t>Art. 4 </w:t>
      </w:r>
      <w:r w:rsidRPr="00E76A04">
        <w:rPr>
          <w:lang w:val="de-DE"/>
        </w:rPr>
        <w:t>- Artikel 7 desselben Erlasses wird wie folgt abgeändert:</w:t>
      </w:r>
    </w:p>
    <w:p w:rsidR="00E76A04" w:rsidRPr="00E76A04" w:rsidRDefault="00E76A04" w:rsidP="00B6632E">
      <w:pPr>
        <w:jc w:val="both"/>
        <w:rPr>
          <w:lang w:val="de-DE"/>
        </w:rPr>
      </w:pPr>
    </w:p>
    <w:p w:rsidR="00E76A04" w:rsidRPr="00E76A04" w:rsidRDefault="00E76A04" w:rsidP="00B6632E">
      <w:pPr>
        <w:jc w:val="both"/>
        <w:rPr>
          <w:lang w:val="de-DE"/>
        </w:rPr>
      </w:pPr>
      <w:r w:rsidRPr="00E76A04">
        <w:rPr>
          <w:lang w:val="de-DE"/>
        </w:rPr>
        <w:tab/>
        <w:t>1. Paragraph 2 wird wie folgt ersetzt:</w:t>
      </w:r>
    </w:p>
    <w:p w:rsidR="00E76A04" w:rsidRPr="00E76A04" w:rsidRDefault="00E76A04" w:rsidP="00B6632E">
      <w:pPr>
        <w:jc w:val="both"/>
        <w:rPr>
          <w:lang w:val="de-DE"/>
        </w:rPr>
      </w:pPr>
    </w:p>
    <w:p w:rsidR="00E76A04" w:rsidRPr="00E76A04" w:rsidRDefault="00E76A04" w:rsidP="00B6632E">
      <w:pPr>
        <w:jc w:val="both"/>
        <w:rPr>
          <w:lang w:val="de-DE"/>
        </w:rPr>
      </w:pPr>
      <w:r w:rsidRPr="00E76A04">
        <w:rPr>
          <w:lang w:val="de-DE"/>
        </w:rPr>
        <w:tab/>
        <w:t>"§ 2 - Zur Erfüllung der Bestimmungen von § 1 richtet der Betreiber einer Lebens</w:t>
      </w:r>
      <w:r w:rsidRPr="00E76A04">
        <w:rPr>
          <w:lang w:val="de-DE"/>
        </w:rPr>
        <w:softHyphen/>
        <w:t>mitteleinrichtung geeignete Wasserüberwachungsprogramme ein, wenn nötig in Absprache mit der zuständigen Behörde. Diese Überwachungsprogramme entsprechen den in der Anlage Punkt IV aufgeführten Mindestanforderungen, außer für Wasser, das in Flaschen oder andere Behältnisse abgefüllt wird."</w:t>
      </w:r>
    </w:p>
    <w:p w:rsidR="00E76A04" w:rsidRPr="00E76A04" w:rsidRDefault="00E76A04" w:rsidP="00B6632E">
      <w:pPr>
        <w:jc w:val="both"/>
        <w:rPr>
          <w:lang w:val="de-DE"/>
        </w:rPr>
      </w:pPr>
    </w:p>
    <w:p w:rsidR="00E76A04" w:rsidRPr="00E76A04" w:rsidRDefault="00E76A04" w:rsidP="00B6632E">
      <w:pPr>
        <w:jc w:val="both"/>
        <w:rPr>
          <w:lang w:val="de-DE"/>
        </w:rPr>
      </w:pPr>
      <w:r w:rsidRPr="00E76A04">
        <w:rPr>
          <w:lang w:val="de-DE"/>
        </w:rPr>
        <w:tab/>
        <w:t>2. Paragraph 3 Absatz 3 wird wie folgt ersetzt:</w:t>
      </w:r>
    </w:p>
    <w:p w:rsidR="00E76A04" w:rsidRPr="00E76A04" w:rsidRDefault="00E76A04" w:rsidP="00B6632E">
      <w:pPr>
        <w:jc w:val="both"/>
        <w:rPr>
          <w:lang w:val="de-DE"/>
        </w:rPr>
      </w:pPr>
    </w:p>
    <w:p w:rsidR="00E76A04" w:rsidRPr="00E76A04" w:rsidRDefault="00E76A04" w:rsidP="00B6632E">
      <w:pPr>
        <w:jc w:val="both"/>
        <w:rPr>
          <w:lang w:val="de-DE"/>
        </w:rPr>
      </w:pPr>
      <w:r w:rsidRPr="00E76A04">
        <w:rPr>
          <w:lang w:val="de-DE"/>
        </w:rPr>
        <w:tab/>
        <w:t>"Für die in der Anlage Punkt V Teil B aufgeführten Parameter kann jedes beliebige Analyseverfahren angewandt werden, sofern es den festgelegten Anforderungen entspricht."</w:t>
      </w:r>
    </w:p>
    <w:p w:rsidR="00E76A04" w:rsidRPr="00E76A04" w:rsidRDefault="00E76A04" w:rsidP="00B6632E">
      <w:pPr>
        <w:jc w:val="both"/>
        <w:rPr>
          <w:lang w:val="de-DE"/>
        </w:rPr>
      </w:pPr>
    </w:p>
    <w:p w:rsidR="00E76A04" w:rsidRPr="00E76A04" w:rsidRDefault="00E76A04" w:rsidP="00B6632E">
      <w:pPr>
        <w:jc w:val="both"/>
        <w:rPr>
          <w:lang w:val="de-DE"/>
        </w:rPr>
      </w:pPr>
    </w:p>
    <w:p w:rsidR="00E76A04" w:rsidRPr="00E76A04" w:rsidRDefault="00E76A04" w:rsidP="00B6632E">
      <w:pPr>
        <w:jc w:val="both"/>
        <w:rPr>
          <w:lang w:val="de-DE"/>
        </w:rPr>
      </w:pPr>
      <w:r w:rsidRPr="00E76A04">
        <w:rPr>
          <w:lang w:val="de-DE"/>
        </w:rPr>
        <w:tab/>
      </w:r>
      <w:r w:rsidRPr="00E76A04">
        <w:rPr>
          <w:b/>
          <w:lang w:val="de-DE"/>
        </w:rPr>
        <w:t>Art. 5 -</w:t>
      </w:r>
      <w:r w:rsidRPr="00E76A04">
        <w:rPr>
          <w:lang w:val="de-DE"/>
        </w:rPr>
        <w:t xml:space="preserve"> Die Anlage zu demselben Erlass wird wie folgt abgeändert:</w:t>
      </w:r>
    </w:p>
    <w:p w:rsidR="00E76A04" w:rsidRPr="00E76A04" w:rsidRDefault="00E76A04" w:rsidP="00B6632E">
      <w:pPr>
        <w:jc w:val="both"/>
        <w:rPr>
          <w:lang w:val="de-DE"/>
        </w:rPr>
      </w:pPr>
    </w:p>
    <w:p w:rsidR="00E76A04" w:rsidRPr="00E76A04" w:rsidRDefault="00E76A04" w:rsidP="00B6632E">
      <w:pPr>
        <w:jc w:val="both"/>
        <w:rPr>
          <w:lang w:val="de-DE"/>
        </w:rPr>
      </w:pPr>
      <w:r w:rsidRPr="00E76A04">
        <w:rPr>
          <w:lang w:val="de-DE"/>
        </w:rPr>
        <w:tab/>
        <w:t>1. In der Tabelle in Punkt III "Anforderungen in Bezug auf die chemischen Parameter und mikrobiologischen Indikatorparameter" werden in der Zeile "Leitfähigkeit" in der dritten Spalte (Einheit) die Wörter "µS cm</w:t>
      </w:r>
      <w:r w:rsidRPr="00E76A04">
        <w:rPr>
          <w:vertAlign w:val="superscript"/>
          <w:lang w:val="de-DE"/>
        </w:rPr>
        <w:t>-1</w:t>
      </w:r>
      <w:r w:rsidRPr="00E76A04">
        <w:rPr>
          <w:lang w:val="de-DE"/>
        </w:rPr>
        <w:t xml:space="preserve"> bei 20 1C" durch die Wörter "S cm</w:t>
      </w:r>
      <w:r w:rsidRPr="00E76A04">
        <w:rPr>
          <w:vertAlign w:val="superscript"/>
          <w:lang w:val="de-DE"/>
        </w:rPr>
        <w:t>-1</w:t>
      </w:r>
      <w:r w:rsidRPr="00E76A04">
        <w:rPr>
          <w:lang w:val="de-DE"/>
        </w:rPr>
        <w:t xml:space="preserve"> bei 20 °C" ersetzt.</w:t>
      </w:r>
    </w:p>
    <w:p w:rsidR="00E76A04" w:rsidRPr="00E76A04" w:rsidRDefault="00E76A04" w:rsidP="00B6632E">
      <w:pPr>
        <w:jc w:val="both"/>
        <w:rPr>
          <w:lang w:val="de-DE"/>
        </w:rPr>
      </w:pPr>
    </w:p>
    <w:p w:rsidR="00E76A04" w:rsidRPr="00E76A04" w:rsidRDefault="00E76A04" w:rsidP="00B6632E">
      <w:pPr>
        <w:jc w:val="both"/>
        <w:rPr>
          <w:lang w:val="de-DE"/>
        </w:rPr>
      </w:pPr>
      <w:r w:rsidRPr="00E76A04">
        <w:rPr>
          <w:lang w:val="de-DE"/>
        </w:rPr>
        <w:tab/>
        <w:t>2. Punkt IV, abgeändert durch den Königlichen Erlass vom 25. Juli 2014, und Punkt V werden durch die in der Anlage zu vorliegendem Erlass erwähnten Punkte IV und V ersetzt.</w:t>
      </w:r>
    </w:p>
    <w:p w:rsidR="00E76A04" w:rsidRPr="00E76A04" w:rsidRDefault="00E76A04" w:rsidP="00B6632E">
      <w:pPr>
        <w:jc w:val="both"/>
        <w:rPr>
          <w:lang w:val="de-DE"/>
        </w:rPr>
      </w:pPr>
    </w:p>
    <w:p w:rsidR="00E76A04" w:rsidRPr="00E76A04" w:rsidRDefault="00E76A04" w:rsidP="00B6632E">
      <w:pPr>
        <w:jc w:val="both"/>
        <w:rPr>
          <w:lang w:val="de-DE"/>
        </w:rPr>
      </w:pPr>
    </w:p>
    <w:p w:rsidR="00E76A04" w:rsidRPr="00E76A04" w:rsidRDefault="00E76A04" w:rsidP="00B6632E">
      <w:pPr>
        <w:jc w:val="both"/>
        <w:rPr>
          <w:lang w:val="de-DE"/>
        </w:rPr>
      </w:pPr>
      <w:r w:rsidRPr="00E76A04">
        <w:rPr>
          <w:lang w:val="de-DE"/>
        </w:rPr>
        <w:tab/>
      </w:r>
      <w:r w:rsidRPr="00E76A04">
        <w:rPr>
          <w:b/>
          <w:lang w:val="de-DE"/>
        </w:rPr>
        <w:t>Art. 6 -</w:t>
      </w:r>
      <w:r w:rsidRPr="00E76A04">
        <w:rPr>
          <w:lang w:val="de-DE"/>
        </w:rPr>
        <w:t xml:space="preserve"> Der für die Volksgesundheit zuständige Minister und der für die Sicherheit der Nahrungsmittelkette zuständige Minister sind, jeder für seinen Bereich, mit der Ausführung des vorliegenden Erlasses beauftragt.</w:t>
      </w:r>
    </w:p>
    <w:p w:rsidR="00E76A04" w:rsidRPr="00E76A04" w:rsidRDefault="00E76A04" w:rsidP="00B6632E">
      <w:pPr>
        <w:jc w:val="both"/>
        <w:rPr>
          <w:lang w:val="de-DE"/>
        </w:rPr>
      </w:pPr>
    </w:p>
    <w:p w:rsidR="00E76A04" w:rsidRPr="00E76A04" w:rsidRDefault="00E76A04" w:rsidP="00B6632E">
      <w:pPr>
        <w:jc w:val="both"/>
        <w:rPr>
          <w:lang w:val="de-DE"/>
        </w:rPr>
      </w:pPr>
    </w:p>
    <w:p w:rsidR="00E76A04" w:rsidRPr="00E76A04" w:rsidRDefault="00E76A04" w:rsidP="00B6632E">
      <w:pPr>
        <w:jc w:val="both"/>
        <w:rPr>
          <w:lang w:val="de-DE"/>
        </w:rPr>
      </w:pPr>
      <w:r w:rsidRPr="00E76A04">
        <w:rPr>
          <w:lang w:val="de-DE"/>
        </w:rPr>
        <w:tab/>
        <w:t>Brüssel, den 12. Juni 2017</w:t>
      </w:r>
    </w:p>
    <w:p w:rsidR="00E76A04" w:rsidRPr="00E76A04" w:rsidRDefault="00E76A04" w:rsidP="00B6632E">
      <w:pPr>
        <w:jc w:val="both"/>
        <w:rPr>
          <w:lang w:val="de-DE"/>
        </w:rPr>
      </w:pPr>
    </w:p>
    <w:p w:rsidR="00E76A04" w:rsidRPr="00E76A04" w:rsidRDefault="00E76A04" w:rsidP="00B6632E">
      <w:pPr>
        <w:jc w:val="both"/>
        <w:rPr>
          <w:lang w:val="de-DE"/>
        </w:rPr>
      </w:pPr>
    </w:p>
    <w:p w:rsidR="00E76A04" w:rsidRPr="00E76A04" w:rsidRDefault="00E76A04" w:rsidP="00B6632E">
      <w:pPr>
        <w:jc w:val="center"/>
        <w:rPr>
          <w:lang w:val="de-DE"/>
        </w:rPr>
      </w:pPr>
      <w:r w:rsidRPr="00E76A04">
        <w:rPr>
          <w:lang w:val="de-DE"/>
        </w:rPr>
        <w:t>PHILIPPE</w:t>
      </w:r>
    </w:p>
    <w:p w:rsidR="00E76A04" w:rsidRPr="00E76A04" w:rsidRDefault="00E76A04" w:rsidP="00B6632E">
      <w:pPr>
        <w:jc w:val="center"/>
        <w:rPr>
          <w:lang w:val="de-DE"/>
        </w:rPr>
      </w:pPr>
    </w:p>
    <w:p w:rsidR="00E76A04" w:rsidRPr="00E76A04" w:rsidRDefault="00E76A04" w:rsidP="00B6632E">
      <w:pPr>
        <w:jc w:val="center"/>
        <w:rPr>
          <w:lang w:val="de-DE"/>
        </w:rPr>
      </w:pPr>
      <w:r w:rsidRPr="00E76A04">
        <w:rPr>
          <w:lang w:val="de-DE"/>
        </w:rPr>
        <w:t>Von Königs wegen:</w:t>
      </w:r>
    </w:p>
    <w:p w:rsidR="00E76A04" w:rsidRPr="00E76A04" w:rsidRDefault="00E76A04" w:rsidP="00B6632E">
      <w:pPr>
        <w:jc w:val="center"/>
        <w:rPr>
          <w:lang w:val="de-DE"/>
        </w:rPr>
      </w:pPr>
    </w:p>
    <w:p w:rsidR="00E76A04" w:rsidRPr="00E76A04" w:rsidRDefault="00E76A04" w:rsidP="00B6632E">
      <w:pPr>
        <w:jc w:val="center"/>
        <w:rPr>
          <w:lang w:val="de-DE"/>
        </w:rPr>
      </w:pPr>
      <w:r w:rsidRPr="00E76A04">
        <w:rPr>
          <w:lang w:val="de-DE"/>
        </w:rPr>
        <w:t>Die Ministerin der Volksgesundheit</w:t>
      </w:r>
    </w:p>
    <w:p w:rsidR="00E76A04" w:rsidRPr="00E76A04" w:rsidRDefault="00E76A04" w:rsidP="00B6632E">
      <w:pPr>
        <w:jc w:val="center"/>
        <w:rPr>
          <w:lang w:val="de-DE"/>
        </w:rPr>
      </w:pPr>
      <w:r w:rsidRPr="00E76A04">
        <w:rPr>
          <w:lang w:val="de-DE"/>
        </w:rPr>
        <w:t>M. DE BLOCK</w:t>
      </w:r>
    </w:p>
    <w:p w:rsidR="00E76A04" w:rsidRPr="00E76A04" w:rsidRDefault="00E76A04" w:rsidP="00B6632E">
      <w:pPr>
        <w:jc w:val="center"/>
        <w:rPr>
          <w:lang w:val="de-DE"/>
        </w:rPr>
      </w:pPr>
    </w:p>
    <w:p w:rsidR="00E76A04" w:rsidRPr="00E76A04" w:rsidRDefault="00E76A04" w:rsidP="00B6632E">
      <w:pPr>
        <w:jc w:val="center"/>
        <w:rPr>
          <w:lang w:val="de-DE"/>
        </w:rPr>
      </w:pPr>
      <w:r w:rsidRPr="00E76A04">
        <w:rPr>
          <w:lang w:val="de-DE"/>
        </w:rPr>
        <w:t>Der Minister der Landwirtschaft</w:t>
      </w:r>
    </w:p>
    <w:p w:rsidR="00E76A04" w:rsidRPr="00E76A04" w:rsidRDefault="00E76A04" w:rsidP="00B6632E">
      <w:pPr>
        <w:jc w:val="center"/>
        <w:rPr>
          <w:lang w:val="de-DE"/>
        </w:rPr>
      </w:pPr>
      <w:r w:rsidRPr="00E76A04">
        <w:rPr>
          <w:lang w:val="de-DE"/>
        </w:rPr>
        <w:t>W. BORSUS</w:t>
      </w:r>
    </w:p>
    <w:p w:rsidR="00E76A04" w:rsidRPr="00E76A04" w:rsidRDefault="00E76A04">
      <w:pPr>
        <w:rPr>
          <w:lang w:val="de-DE"/>
        </w:rPr>
      </w:pPr>
      <w:r w:rsidRPr="00E76A04">
        <w:rPr>
          <w:lang w:val="de-DE"/>
        </w:rPr>
        <w:br w:type="page"/>
      </w:r>
    </w:p>
    <w:p w:rsidR="00E76A04" w:rsidRPr="00E76A04" w:rsidRDefault="00E76A04" w:rsidP="00E76A04">
      <w:pPr>
        <w:jc w:val="center"/>
        <w:rPr>
          <w:b/>
          <w:lang w:val="de-DE"/>
        </w:rPr>
      </w:pPr>
      <w:r>
        <w:rPr>
          <w:b/>
          <w:lang w:val="de-DE"/>
        </w:rPr>
        <w:t>Anlage</w:t>
      </w:r>
    </w:p>
    <w:p w:rsidR="00E76A04" w:rsidRPr="00E76A04" w:rsidRDefault="00E76A04" w:rsidP="00DB2788">
      <w:pPr>
        <w:jc w:val="both"/>
        <w:rPr>
          <w:b/>
          <w:lang w:val="de-DE"/>
        </w:rPr>
      </w:pPr>
    </w:p>
    <w:p w:rsidR="00E76A04" w:rsidRPr="00E76A04" w:rsidRDefault="00E76A04" w:rsidP="00DB2788">
      <w:pPr>
        <w:jc w:val="both"/>
        <w:rPr>
          <w:b/>
          <w:lang w:val="de-DE"/>
        </w:rPr>
      </w:pPr>
      <w:r w:rsidRPr="00E76A04">
        <w:rPr>
          <w:b/>
          <w:lang w:val="de-DE"/>
        </w:rPr>
        <w:t>IV. Überwachungsprogramme</w:t>
      </w:r>
    </w:p>
    <w:p w:rsidR="00E76A04" w:rsidRPr="00E76A04" w:rsidRDefault="00E76A04" w:rsidP="00DB2788">
      <w:pPr>
        <w:jc w:val="both"/>
        <w:rPr>
          <w:lang w:val="de-DE"/>
        </w:rPr>
      </w:pPr>
    </w:p>
    <w:p w:rsidR="00E76A04" w:rsidRPr="00E76A04" w:rsidRDefault="00E76A04" w:rsidP="00DB2788">
      <w:pPr>
        <w:jc w:val="both"/>
        <w:rPr>
          <w:lang w:val="de-DE"/>
        </w:rPr>
      </w:pPr>
      <w:r w:rsidRPr="00E76A04">
        <w:rPr>
          <w:u w:val="single"/>
          <w:lang w:val="de-DE"/>
        </w:rPr>
        <w:t>Teil A</w:t>
      </w:r>
      <w:r w:rsidRPr="00E76A04">
        <w:rPr>
          <w:lang w:val="de-DE"/>
        </w:rPr>
        <w:t xml:space="preserve">: Allgemeine Grundsätze </w:t>
      </w:r>
    </w:p>
    <w:p w:rsidR="00E76A04" w:rsidRPr="00E76A04" w:rsidRDefault="00E76A04" w:rsidP="00DB2788">
      <w:pPr>
        <w:jc w:val="both"/>
        <w:rPr>
          <w:lang w:val="de-DE"/>
        </w:rPr>
      </w:pPr>
    </w:p>
    <w:p w:rsidR="00E76A04" w:rsidRPr="00E76A04" w:rsidRDefault="00E76A04" w:rsidP="00DB2788">
      <w:pPr>
        <w:jc w:val="both"/>
        <w:rPr>
          <w:lang w:val="de-DE"/>
        </w:rPr>
      </w:pPr>
      <w:r w:rsidRPr="00E76A04">
        <w:rPr>
          <w:lang w:val="de-DE"/>
        </w:rPr>
        <w:t xml:space="preserve">1. Programme zur Überwachung der Wasserqualität müssen: </w:t>
      </w:r>
    </w:p>
    <w:p w:rsidR="00E76A04" w:rsidRPr="00E76A04" w:rsidRDefault="00E76A04" w:rsidP="00DB2788">
      <w:pPr>
        <w:ind w:left="708"/>
        <w:jc w:val="both"/>
        <w:rPr>
          <w:lang w:val="de-DE"/>
        </w:rPr>
      </w:pPr>
      <w:r w:rsidRPr="00E76A04">
        <w:rPr>
          <w:lang w:val="de-DE"/>
        </w:rPr>
        <w:t>a) nachweisen, dass die etablierten Maßnahmen zur Überwachung der Risiken für die menschliche Gesundheit entlang der gesamten Wasserversorgungskette vom Einzugs</w:t>
      </w:r>
      <w:r w:rsidRPr="00E76A04">
        <w:rPr>
          <w:lang w:val="de-DE"/>
        </w:rPr>
        <w:softHyphen/>
        <w:t>gebiet über die Entnahme, Aufbereitung und Speicherung bis zu den Verwendungs</w:t>
      </w:r>
      <w:r w:rsidRPr="00E76A04">
        <w:rPr>
          <w:lang w:val="de-DE"/>
        </w:rPr>
        <w:softHyphen/>
        <w:t>stellen wirksam funktionieren und das Wasser an der Stelle der Einhaltung genuss</w:t>
      </w:r>
      <w:r w:rsidRPr="00E76A04">
        <w:rPr>
          <w:lang w:val="de-DE"/>
        </w:rPr>
        <w:softHyphen/>
        <w:t>tauglich und rein ist,</w:t>
      </w:r>
    </w:p>
    <w:p w:rsidR="00E76A04" w:rsidRPr="00E76A04" w:rsidRDefault="00E76A04" w:rsidP="00DB2788">
      <w:pPr>
        <w:ind w:left="708"/>
        <w:jc w:val="both"/>
        <w:rPr>
          <w:lang w:val="de-DE"/>
        </w:rPr>
      </w:pPr>
      <w:r w:rsidRPr="00E76A04">
        <w:rPr>
          <w:lang w:val="de-DE"/>
        </w:rPr>
        <w:t xml:space="preserve">b) Informationen über die Qualität des Wassers bereitstellen, damit der Nachweis erbracht ist, dass die in den Artikeln 3 und 5 bestimmten Verpflichtungen und die Parameterwerte in den Punkten I, II und III der Anlage eingehalten werden, </w:t>
      </w:r>
    </w:p>
    <w:p w:rsidR="00E76A04" w:rsidRPr="00E76A04" w:rsidRDefault="00E76A04" w:rsidP="00DB2788">
      <w:pPr>
        <w:ind w:left="708"/>
        <w:jc w:val="both"/>
        <w:rPr>
          <w:lang w:val="de-DE"/>
        </w:rPr>
      </w:pPr>
      <w:r w:rsidRPr="00E76A04">
        <w:rPr>
          <w:lang w:val="de-DE"/>
        </w:rPr>
        <w:t>c) die geeignetsten Mittel zur Minderung des Risikos für die menschliche Gesundheit ausweisen.</w:t>
      </w:r>
    </w:p>
    <w:p w:rsidR="00E76A04" w:rsidRPr="00E76A04" w:rsidRDefault="00E76A04" w:rsidP="00DB2788">
      <w:pPr>
        <w:ind w:left="708"/>
        <w:jc w:val="both"/>
        <w:rPr>
          <w:lang w:val="de-DE"/>
        </w:rPr>
      </w:pPr>
    </w:p>
    <w:p w:rsidR="00E76A04" w:rsidRPr="00E76A04" w:rsidRDefault="00E76A04" w:rsidP="00DB2788">
      <w:pPr>
        <w:jc w:val="both"/>
        <w:rPr>
          <w:lang w:val="de-DE"/>
        </w:rPr>
      </w:pPr>
      <w:r w:rsidRPr="00E76A04">
        <w:rPr>
          <w:lang w:val="de-DE"/>
        </w:rPr>
        <w:t>2. Gemäß Artikel 7 § 2 richtet der Betreiber einer Lebensmitteleinrichtung Überwachungs</w:t>
      </w:r>
      <w:r w:rsidRPr="00E76A04">
        <w:rPr>
          <w:lang w:val="de-DE"/>
        </w:rPr>
        <w:softHyphen/>
        <w:t>programme ein, die den in Teil B festgelegten Parametern und Häufigkeiten entsprechen. Diese Programme werden im Rahmen des Eigenkontrollsystems und der auf den Grundsätzen der "Gefahrenanalyse und Bestimmung kritischer Kontrollpunkte" ("HACCP-Grundsätze") be</w:t>
      </w:r>
      <w:r w:rsidRPr="00E76A04">
        <w:rPr>
          <w:lang w:val="de-DE"/>
        </w:rPr>
        <w:softHyphen/>
        <w:t>ruhenden Verfahren erstellt, implementiert und überarbeitet. Diese Programme können Fol</w:t>
      </w:r>
      <w:r w:rsidRPr="00E76A04">
        <w:rPr>
          <w:lang w:val="de-DE"/>
        </w:rPr>
        <w:softHyphen/>
        <w:t xml:space="preserve">gendes umfassen: </w:t>
      </w:r>
    </w:p>
    <w:p w:rsidR="00E76A04" w:rsidRPr="00E76A04" w:rsidRDefault="00E76A04" w:rsidP="00DB2788">
      <w:pPr>
        <w:ind w:left="708"/>
        <w:jc w:val="both"/>
        <w:rPr>
          <w:lang w:val="de-DE"/>
        </w:rPr>
      </w:pPr>
      <w:r w:rsidRPr="00E76A04">
        <w:rPr>
          <w:lang w:val="de-DE"/>
        </w:rPr>
        <w:t xml:space="preserve">a) Entnahme und Analyse einzelner Wasserproben </w:t>
      </w:r>
    </w:p>
    <w:p w:rsidR="00E76A04" w:rsidRPr="00E76A04" w:rsidRDefault="00E76A04" w:rsidP="00DB2788">
      <w:pPr>
        <w:ind w:left="708"/>
        <w:jc w:val="both"/>
        <w:rPr>
          <w:lang w:val="de-DE"/>
        </w:rPr>
      </w:pPr>
      <w:r w:rsidRPr="00E76A04">
        <w:rPr>
          <w:lang w:val="de-DE"/>
        </w:rPr>
        <w:t xml:space="preserve">b) oder, mit Einverständnis der zuständigen Behörde, Aufzeichnung der Messungen von Parametern durch ein kontinuierliches Überwachungsverfahren. </w:t>
      </w:r>
    </w:p>
    <w:p w:rsidR="00E76A04" w:rsidRPr="00E76A04" w:rsidRDefault="00E76A04" w:rsidP="00DB2788">
      <w:pPr>
        <w:jc w:val="both"/>
        <w:rPr>
          <w:highlight w:val="yellow"/>
          <w:lang w:val="de-DE"/>
        </w:rPr>
      </w:pPr>
    </w:p>
    <w:p w:rsidR="00E76A04" w:rsidRPr="00E76A04" w:rsidRDefault="00E76A04" w:rsidP="00DB2788">
      <w:pPr>
        <w:jc w:val="both"/>
        <w:rPr>
          <w:lang w:val="de-DE"/>
        </w:rPr>
      </w:pPr>
      <w:r w:rsidRPr="00E76A04">
        <w:rPr>
          <w:lang w:val="de-DE"/>
        </w:rPr>
        <w:t>3. Die Überwachungsprogramme können auf einer Risikobewertung gemäß Teil C beruhen.</w:t>
      </w:r>
    </w:p>
    <w:p w:rsidR="00E76A04" w:rsidRPr="00E76A04" w:rsidRDefault="00E76A04" w:rsidP="00DB2788">
      <w:pPr>
        <w:jc w:val="both"/>
        <w:rPr>
          <w:lang w:val="de-DE"/>
        </w:rPr>
      </w:pPr>
    </w:p>
    <w:p w:rsidR="00E76A04" w:rsidRPr="00E76A04" w:rsidRDefault="00E76A04" w:rsidP="00DB2788">
      <w:pPr>
        <w:jc w:val="both"/>
        <w:rPr>
          <w:lang w:val="de-DE"/>
        </w:rPr>
      </w:pPr>
      <w:r w:rsidRPr="00E76A04">
        <w:rPr>
          <w:u w:val="single"/>
          <w:lang w:val="de-DE"/>
        </w:rPr>
        <w:t>Teil B</w:t>
      </w:r>
      <w:r w:rsidRPr="00E76A04">
        <w:rPr>
          <w:lang w:val="de-DE"/>
        </w:rPr>
        <w:t xml:space="preserve">: Parameter und Häufigkeiten </w:t>
      </w:r>
    </w:p>
    <w:p w:rsidR="00E76A04" w:rsidRPr="00E76A04" w:rsidRDefault="00E76A04" w:rsidP="00DB2788">
      <w:pPr>
        <w:jc w:val="both"/>
        <w:rPr>
          <w:lang w:val="de-DE"/>
        </w:rPr>
      </w:pPr>
    </w:p>
    <w:p w:rsidR="00E76A04" w:rsidRDefault="00E76A04" w:rsidP="00DB2788">
      <w:pPr>
        <w:pStyle w:val="Paragraphedeliste"/>
        <w:spacing w:after="0" w:line="240" w:lineRule="auto"/>
        <w:ind w:left="0"/>
        <w:jc w:val="both"/>
        <w:rPr>
          <w:rFonts w:ascii="Times New Roman" w:hAnsi="Times New Roman"/>
          <w:sz w:val="24"/>
          <w:szCs w:val="24"/>
        </w:rPr>
      </w:pPr>
      <w:r>
        <w:rPr>
          <w:rFonts w:ascii="Times New Roman" w:hAnsi="Times New Roman"/>
          <w:sz w:val="24"/>
        </w:rPr>
        <w:t>1. Allgemeiner Rahmen</w:t>
      </w:r>
    </w:p>
    <w:p w:rsidR="00E76A04" w:rsidRPr="00700797" w:rsidRDefault="00E76A04" w:rsidP="00DB2788">
      <w:pPr>
        <w:pStyle w:val="Paragraphedeliste"/>
        <w:spacing w:after="0" w:line="240" w:lineRule="auto"/>
        <w:ind w:left="0"/>
        <w:jc w:val="both"/>
        <w:rPr>
          <w:rFonts w:ascii="Times New Roman" w:hAnsi="Times New Roman"/>
          <w:sz w:val="24"/>
          <w:szCs w:val="24"/>
        </w:rPr>
      </w:pPr>
    </w:p>
    <w:p w:rsidR="00E76A04" w:rsidRPr="00E76A04" w:rsidRDefault="00E76A04" w:rsidP="00DB2788">
      <w:pPr>
        <w:jc w:val="both"/>
        <w:rPr>
          <w:lang w:val="de-DE"/>
        </w:rPr>
      </w:pPr>
      <w:r w:rsidRPr="00E76A04">
        <w:rPr>
          <w:lang w:val="de-DE"/>
        </w:rPr>
        <w:t xml:space="preserve">Ein Überwachungsprogramm muss die in den Punkten I, II und III erwähnten Parameter sowie die zusätzlichen Parameter berücksichtigen, die für die Bewertung der Auswirkungen des internen Verteilungsnetzes der Lebensmitteleinrichtung auf die Wasserqualität an der in Artikel 6 erwähnten Stelle der Einhaltung wichtig sind. </w:t>
      </w:r>
    </w:p>
    <w:p w:rsidR="00E76A04" w:rsidRPr="00E76A04" w:rsidRDefault="00E76A04" w:rsidP="00DB2788">
      <w:pPr>
        <w:jc w:val="both"/>
        <w:rPr>
          <w:lang w:val="de-DE"/>
        </w:rPr>
      </w:pPr>
    </w:p>
    <w:p w:rsidR="00E76A04" w:rsidRPr="00E76A04" w:rsidRDefault="00E76A04" w:rsidP="00DB2788">
      <w:pPr>
        <w:jc w:val="both"/>
        <w:rPr>
          <w:lang w:val="de-DE"/>
        </w:rPr>
      </w:pPr>
      <w:r w:rsidRPr="00E76A04">
        <w:rPr>
          <w:lang w:val="de-DE"/>
        </w:rPr>
        <w:t xml:space="preserve">Die Betreiber von Lebensmitteleinrichtungen stellen sicher, dass die in Nr. 2 aufgeführten Parameter mit der jeweiligen </w:t>
      </w:r>
      <w:proofErr w:type="spellStart"/>
      <w:r w:rsidRPr="00E76A04">
        <w:rPr>
          <w:lang w:val="de-DE"/>
        </w:rPr>
        <w:t>Probenahmehäufigkeit</w:t>
      </w:r>
      <w:proofErr w:type="spellEnd"/>
      <w:r w:rsidRPr="00E76A04">
        <w:rPr>
          <w:lang w:val="de-DE"/>
        </w:rPr>
        <w:t xml:space="preserve"> gemäß Nr. 3 überwacht werden.</w:t>
      </w:r>
    </w:p>
    <w:p w:rsidR="00E76A04" w:rsidRPr="00E76A04" w:rsidRDefault="00E76A04" w:rsidP="00DB2788">
      <w:pPr>
        <w:jc w:val="both"/>
        <w:rPr>
          <w:lang w:val="de-DE"/>
        </w:rPr>
      </w:pPr>
    </w:p>
    <w:p w:rsidR="00E76A04" w:rsidRPr="00700797" w:rsidRDefault="00E76A04" w:rsidP="00DB2788">
      <w:pPr>
        <w:pStyle w:val="Paragraphedeliste"/>
        <w:spacing w:after="0" w:line="240" w:lineRule="auto"/>
        <w:ind w:left="0"/>
        <w:jc w:val="both"/>
        <w:rPr>
          <w:rFonts w:ascii="Times New Roman" w:hAnsi="Times New Roman"/>
          <w:sz w:val="24"/>
          <w:szCs w:val="24"/>
        </w:rPr>
      </w:pPr>
      <w:r>
        <w:rPr>
          <w:rFonts w:ascii="Times New Roman" w:hAnsi="Times New Roman"/>
          <w:sz w:val="24"/>
        </w:rPr>
        <w:t>2. Liste der zu überwachenden Parameter</w:t>
      </w:r>
    </w:p>
    <w:p w:rsidR="00E76A04" w:rsidRPr="00700797" w:rsidRDefault="00E76A04" w:rsidP="00DB2788">
      <w:pPr>
        <w:pStyle w:val="Paragraphedeliste"/>
        <w:spacing w:after="0" w:line="240" w:lineRule="auto"/>
        <w:ind w:left="357"/>
        <w:jc w:val="both"/>
        <w:rPr>
          <w:rFonts w:ascii="Times New Roman" w:hAnsi="Times New Roman"/>
          <w:sz w:val="24"/>
          <w:szCs w:val="24"/>
        </w:rPr>
      </w:pPr>
    </w:p>
    <w:p w:rsidR="00E76A04" w:rsidRDefault="00E76A04" w:rsidP="00DB2788">
      <w:pPr>
        <w:pStyle w:val="Paragraphedeliste"/>
        <w:spacing w:after="0" w:line="240" w:lineRule="auto"/>
        <w:ind w:left="0"/>
        <w:jc w:val="both"/>
        <w:rPr>
          <w:rFonts w:ascii="Times New Roman" w:hAnsi="Times New Roman"/>
          <w:sz w:val="24"/>
          <w:szCs w:val="24"/>
        </w:rPr>
      </w:pPr>
      <w:r>
        <w:rPr>
          <w:rFonts w:ascii="Times New Roman" w:hAnsi="Times New Roman"/>
          <w:sz w:val="24"/>
        </w:rPr>
        <w:t>2.1 Parameter der Gruppe A</w:t>
      </w:r>
    </w:p>
    <w:p w:rsidR="00E76A04" w:rsidRPr="00700797" w:rsidRDefault="00E76A04" w:rsidP="00DB2788">
      <w:pPr>
        <w:pStyle w:val="Paragraphedeliste"/>
        <w:spacing w:after="0" w:line="240" w:lineRule="auto"/>
        <w:ind w:left="0"/>
        <w:jc w:val="both"/>
        <w:rPr>
          <w:rFonts w:ascii="Times New Roman" w:hAnsi="Times New Roman"/>
          <w:sz w:val="24"/>
          <w:szCs w:val="24"/>
        </w:rPr>
      </w:pPr>
    </w:p>
    <w:p w:rsidR="00E76A04" w:rsidRPr="00E76A04" w:rsidRDefault="00E76A04" w:rsidP="00DB2788">
      <w:pPr>
        <w:jc w:val="both"/>
        <w:rPr>
          <w:lang w:val="de-DE"/>
        </w:rPr>
      </w:pPr>
      <w:r w:rsidRPr="00E76A04">
        <w:rPr>
          <w:lang w:val="de-DE"/>
        </w:rPr>
        <w:t>Die folgenden Parameter werden mit der Überwachungshäufigkeit gemäß Nr. 3 Tabelle 1 überwacht:</w:t>
      </w:r>
    </w:p>
    <w:p w:rsidR="00E76A04" w:rsidRPr="00E76A04" w:rsidRDefault="00E76A04" w:rsidP="00DB2788">
      <w:pPr>
        <w:ind w:left="708"/>
        <w:jc w:val="both"/>
        <w:rPr>
          <w:lang w:val="de-DE"/>
        </w:rPr>
      </w:pPr>
      <w:r w:rsidRPr="00E76A04">
        <w:rPr>
          <w:lang w:val="de-DE"/>
        </w:rPr>
        <w:t xml:space="preserve">a) Escherichia coli (E. coli), Nitrat, </w:t>
      </w:r>
      <w:proofErr w:type="spellStart"/>
      <w:r w:rsidRPr="00E76A04">
        <w:rPr>
          <w:lang w:val="de-DE"/>
        </w:rPr>
        <w:t>coliforme</w:t>
      </w:r>
      <w:proofErr w:type="spellEnd"/>
      <w:r w:rsidRPr="00E76A04">
        <w:rPr>
          <w:lang w:val="de-DE"/>
        </w:rPr>
        <w:t xml:space="preserve"> Bakterien, Koloniezahl bei 22 °C, Fär</w:t>
      </w:r>
      <w:r w:rsidRPr="00E76A04">
        <w:rPr>
          <w:lang w:val="de-DE"/>
        </w:rPr>
        <w:softHyphen/>
        <w:t xml:space="preserve">bung, Trübung, Geschmack, Geruch, pH-Wert, Leitfähigkeit, </w:t>
      </w:r>
    </w:p>
    <w:p w:rsidR="00E76A04" w:rsidRPr="00E76A04" w:rsidRDefault="00E76A04" w:rsidP="00DB2788">
      <w:pPr>
        <w:ind w:left="708"/>
        <w:jc w:val="both"/>
        <w:rPr>
          <w:lang w:val="de-DE"/>
        </w:rPr>
      </w:pPr>
      <w:r w:rsidRPr="00E76A04">
        <w:rPr>
          <w:lang w:val="de-DE"/>
        </w:rPr>
        <w:t xml:space="preserve">b) Ammonium und Nitrit, wenn </w:t>
      </w:r>
      <w:proofErr w:type="spellStart"/>
      <w:r w:rsidRPr="00E76A04">
        <w:rPr>
          <w:lang w:val="de-DE"/>
        </w:rPr>
        <w:t>Chloraminierung</w:t>
      </w:r>
      <w:proofErr w:type="spellEnd"/>
      <w:r w:rsidRPr="00E76A04">
        <w:rPr>
          <w:lang w:val="de-DE"/>
        </w:rPr>
        <w:t xml:space="preserve"> verwendet wird, </w:t>
      </w:r>
    </w:p>
    <w:p w:rsidR="00E76A04" w:rsidRPr="00E76A04" w:rsidRDefault="00E76A04" w:rsidP="00DB2788">
      <w:pPr>
        <w:ind w:left="708"/>
        <w:jc w:val="both"/>
        <w:rPr>
          <w:lang w:val="de-DE"/>
        </w:rPr>
      </w:pPr>
      <w:r w:rsidRPr="00E76A04">
        <w:rPr>
          <w:lang w:val="de-DE"/>
        </w:rPr>
        <w:t>c) freies Restchlor (nur erforderlich, wenn Wasser mit Natriumhypochlorit oder Chlor</w:t>
      </w:r>
      <w:r w:rsidRPr="00E76A04">
        <w:rPr>
          <w:lang w:val="de-DE"/>
        </w:rPr>
        <w:softHyphen/>
        <w:t>gas behandelt wird),</w:t>
      </w:r>
    </w:p>
    <w:p w:rsidR="00E76A04" w:rsidRPr="00E76A04" w:rsidRDefault="00E76A04" w:rsidP="00DB2788">
      <w:pPr>
        <w:ind w:left="708"/>
        <w:jc w:val="both"/>
        <w:rPr>
          <w:lang w:val="de-DE"/>
        </w:rPr>
      </w:pPr>
      <w:r w:rsidRPr="00E76A04">
        <w:rPr>
          <w:lang w:val="de-DE"/>
        </w:rPr>
        <w:t>d) Aluminium und Eisen, wenn diese als Chemikalien zur Wasseraufbereitung ver</w:t>
      </w:r>
      <w:r w:rsidRPr="00E76A04">
        <w:rPr>
          <w:lang w:val="de-DE"/>
        </w:rPr>
        <w:softHyphen/>
        <w:t>wendet werden (Flockungsmittel),</w:t>
      </w:r>
    </w:p>
    <w:p w:rsidR="00E76A04" w:rsidRPr="00E76A04" w:rsidRDefault="00E76A04" w:rsidP="00DB2788">
      <w:pPr>
        <w:ind w:left="708"/>
        <w:jc w:val="both"/>
        <w:rPr>
          <w:lang w:val="de-DE"/>
        </w:rPr>
      </w:pPr>
      <w:r w:rsidRPr="00E76A04">
        <w:rPr>
          <w:lang w:val="de-DE"/>
        </w:rPr>
        <w:t>e) sonstige Parameter, die in dem Überwachungsprogramm als relevant ausgewiesen sind und durch eine in Teil C erwähnte Risikobewertung ermittelt werden.</w:t>
      </w:r>
    </w:p>
    <w:p w:rsidR="00E76A04" w:rsidRPr="00E76A04" w:rsidRDefault="00E76A04" w:rsidP="00DB2788">
      <w:pPr>
        <w:ind w:left="708"/>
        <w:jc w:val="both"/>
        <w:rPr>
          <w:lang w:val="de-DE"/>
        </w:rPr>
      </w:pPr>
    </w:p>
    <w:p w:rsidR="00E76A04" w:rsidRPr="00E76A04" w:rsidRDefault="00E76A04" w:rsidP="00DB2788">
      <w:pPr>
        <w:jc w:val="both"/>
        <w:rPr>
          <w:lang w:val="de-DE"/>
        </w:rPr>
      </w:pPr>
      <w:r w:rsidRPr="00E76A04">
        <w:rPr>
          <w:lang w:val="de-DE"/>
        </w:rPr>
        <w:t>2.2 Parameter der Gruppe B</w:t>
      </w:r>
    </w:p>
    <w:p w:rsidR="00E76A04" w:rsidRPr="00E76A04" w:rsidRDefault="00E76A04" w:rsidP="00DB2788">
      <w:pPr>
        <w:jc w:val="both"/>
        <w:rPr>
          <w:lang w:val="de-DE"/>
        </w:rPr>
      </w:pPr>
    </w:p>
    <w:p w:rsidR="00E76A04" w:rsidRPr="00E76A04" w:rsidRDefault="00E76A04" w:rsidP="00DB2788">
      <w:pPr>
        <w:jc w:val="both"/>
        <w:rPr>
          <w:lang w:val="de-DE"/>
        </w:rPr>
      </w:pPr>
      <w:r w:rsidRPr="00E76A04">
        <w:rPr>
          <w:lang w:val="de-DE"/>
        </w:rPr>
        <w:t xml:space="preserve">Um festzustellen, ob alle in vorliegendem Erlass festgelegten Parameterwerte beachtet werden, werden alle sonstigen Parameter, die nicht im Rahmen der Gruppe A analysiert werden und die gemäß Artikel 5 festgelegt wurden, mindestens mit den in Nr. 3 Tabelle 1 aufgeführten Häufigkeiten analysiert. </w:t>
      </w:r>
    </w:p>
    <w:p w:rsidR="00E76A04" w:rsidRDefault="00E76A04" w:rsidP="00DB2788">
      <w:pPr>
        <w:pStyle w:val="Paragraphedeliste"/>
        <w:spacing w:after="0" w:line="240" w:lineRule="auto"/>
        <w:ind w:left="0"/>
        <w:jc w:val="both"/>
        <w:rPr>
          <w:rFonts w:ascii="Times New Roman" w:hAnsi="Times New Roman"/>
          <w:sz w:val="24"/>
          <w:szCs w:val="24"/>
        </w:rPr>
      </w:pPr>
    </w:p>
    <w:p w:rsidR="00E76A04" w:rsidRDefault="00E76A04" w:rsidP="00DB2788">
      <w:pPr>
        <w:pStyle w:val="Paragraphedeliste"/>
        <w:spacing w:after="0" w:line="240" w:lineRule="auto"/>
        <w:ind w:left="0"/>
        <w:jc w:val="both"/>
        <w:rPr>
          <w:rFonts w:ascii="Times New Roman" w:hAnsi="Times New Roman"/>
          <w:sz w:val="24"/>
          <w:szCs w:val="24"/>
        </w:rPr>
      </w:pPr>
      <w:r>
        <w:rPr>
          <w:rFonts w:ascii="Times New Roman" w:hAnsi="Times New Roman"/>
          <w:sz w:val="24"/>
        </w:rPr>
        <w:t xml:space="preserve">3. </w:t>
      </w:r>
      <w:proofErr w:type="spellStart"/>
      <w:r>
        <w:rPr>
          <w:rFonts w:ascii="Times New Roman" w:hAnsi="Times New Roman"/>
          <w:sz w:val="24"/>
        </w:rPr>
        <w:t>Probenahmehäufigkeiten</w:t>
      </w:r>
      <w:proofErr w:type="spellEnd"/>
    </w:p>
    <w:p w:rsidR="00E76A04" w:rsidRPr="00700797" w:rsidRDefault="00E76A04" w:rsidP="00DB2788">
      <w:pPr>
        <w:pStyle w:val="Paragraphedeliste"/>
        <w:spacing w:after="0" w:line="240" w:lineRule="auto"/>
        <w:ind w:left="0"/>
        <w:jc w:val="both"/>
        <w:rPr>
          <w:rFonts w:ascii="Times New Roman" w:hAnsi="Times New Roman"/>
          <w:sz w:val="24"/>
          <w:szCs w:val="24"/>
        </w:rPr>
      </w:pPr>
    </w:p>
    <w:p w:rsidR="00E76A04" w:rsidRPr="00DB2788" w:rsidRDefault="00E76A04" w:rsidP="00DB2788">
      <w:pPr>
        <w:pStyle w:val="Lgende"/>
        <w:spacing w:after="0"/>
        <w:jc w:val="center"/>
        <w:rPr>
          <w:rFonts w:ascii="Times New Roman" w:hAnsi="Times New Roman" w:cs="Times New Roman"/>
          <w:b w:val="0"/>
          <w:bCs w:val="0"/>
          <w:iCs/>
          <w:color w:val="000000"/>
          <w:sz w:val="24"/>
          <w:szCs w:val="24"/>
        </w:rPr>
      </w:pPr>
      <w:r>
        <w:rPr>
          <w:rFonts w:ascii="Times New Roman" w:hAnsi="Times New Roman"/>
          <w:i/>
          <w:color w:val="000000"/>
          <w:sz w:val="24"/>
        </w:rPr>
        <w:t xml:space="preserve">Tabelle </w:t>
      </w:r>
      <w:r w:rsidRPr="00700797">
        <w:rPr>
          <w:rFonts w:ascii="Times New Roman" w:hAnsi="Times New Roman" w:cs="Times New Roman"/>
          <w:i/>
          <w:color w:val="000000"/>
          <w:sz w:val="24"/>
        </w:rPr>
        <w:fldChar w:fldCharType="begin"/>
      </w:r>
      <w:r w:rsidRPr="00700797">
        <w:rPr>
          <w:rFonts w:ascii="Times New Roman" w:hAnsi="Times New Roman" w:cs="Times New Roman"/>
          <w:i/>
          <w:color w:val="000000"/>
          <w:sz w:val="24"/>
        </w:rPr>
        <w:instrText xml:space="preserve"> SEQ Tableau \* ARABIC </w:instrText>
      </w:r>
      <w:r w:rsidRPr="00700797">
        <w:rPr>
          <w:rFonts w:ascii="Times New Roman" w:hAnsi="Times New Roman" w:cs="Times New Roman"/>
          <w:i/>
          <w:color w:val="000000"/>
          <w:sz w:val="24"/>
        </w:rPr>
        <w:fldChar w:fldCharType="separate"/>
      </w:r>
      <w:r>
        <w:rPr>
          <w:rFonts w:ascii="Times New Roman" w:hAnsi="Times New Roman" w:cs="Times New Roman"/>
          <w:i/>
          <w:noProof/>
          <w:color w:val="000000"/>
          <w:sz w:val="24"/>
        </w:rPr>
        <w:t>1</w:t>
      </w:r>
      <w:r w:rsidRPr="00700797">
        <w:rPr>
          <w:rFonts w:ascii="Times New Roman" w:hAnsi="Times New Roman" w:cs="Times New Roman"/>
          <w:i/>
          <w:color w:val="000000"/>
          <w:sz w:val="24"/>
        </w:rPr>
        <w:fldChar w:fldCharType="end"/>
      </w:r>
      <w:r>
        <w:rPr>
          <w:rFonts w:ascii="Times New Roman" w:hAnsi="Times New Roman"/>
          <w:i/>
          <w:color w:val="000000"/>
          <w:sz w:val="24"/>
        </w:rPr>
        <w:t>: Mindesthäufigkeit der Probenahme und Analyse für die Überwachung der Einhaltung</w:t>
      </w:r>
    </w:p>
    <w:p w:rsidR="00E76A04" w:rsidRPr="00E76A04" w:rsidRDefault="00E76A04" w:rsidP="00DB2788">
      <w:pPr>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2"/>
        <w:gridCol w:w="1504"/>
        <w:gridCol w:w="2947"/>
        <w:gridCol w:w="3047"/>
      </w:tblGrid>
      <w:tr w:rsidR="00E76A04" w:rsidRPr="00E76A04" w:rsidTr="00883C73">
        <w:tc>
          <w:tcPr>
            <w:tcW w:w="0" w:type="auto"/>
            <w:gridSpan w:val="2"/>
            <w:tcBorders>
              <w:top w:val="single" w:sz="4" w:space="0" w:color="auto"/>
              <w:left w:val="single" w:sz="4" w:space="0" w:color="auto"/>
              <w:bottom w:val="single" w:sz="4" w:space="0" w:color="auto"/>
              <w:right w:val="single" w:sz="4" w:space="0" w:color="auto"/>
            </w:tcBorders>
            <w:shd w:val="clear" w:color="auto" w:fill="auto"/>
            <w:hideMark/>
          </w:tcPr>
          <w:p w:rsidR="00E76A04" w:rsidRPr="00E76A04" w:rsidRDefault="00E76A04" w:rsidP="00DB2788">
            <w:pPr>
              <w:jc w:val="center"/>
              <w:rPr>
                <w:rFonts w:eastAsia="Calibri"/>
                <w:lang w:val="de-DE"/>
              </w:rPr>
            </w:pPr>
            <w:r w:rsidRPr="00E76A04">
              <w:rPr>
                <w:lang w:val="de-DE"/>
              </w:rPr>
              <w:t xml:space="preserve">Menge des von der Einrichtung pro Tag produzierten oder verwendeten Wassers </w:t>
            </w:r>
          </w:p>
          <w:p w:rsidR="00E76A04" w:rsidRPr="00700797" w:rsidRDefault="00E76A04" w:rsidP="00DB2788">
            <w:pPr>
              <w:jc w:val="center"/>
              <w:rPr>
                <w:rFonts w:eastAsia="Calibri"/>
              </w:rPr>
            </w:pPr>
            <w:r>
              <w:t>(</w:t>
            </w:r>
            <w:proofErr w:type="spellStart"/>
            <w:proofErr w:type="gramStart"/>
            <w:r>
              <w:t>siehe</w:t>
            </w:r>
            <w:proofErr w:type="spellEnd"/>
            <w:proofErr w:type="gramEnd"/>
            <w:r>
              <w:t xml:space="preserve"> </w:t>
            </w:r>
            <w:proofErr w:type="spellStart"/>
            <w:r>
              <w:t>Anm</w:t>
            </w:r>
            <w:proofErr w:type="spellEnd"/>
            <w:r>
              <w:t>. 1 und 2)</w:t>
            </w:r>
          </w:p>
          <w:p w:rsidR="00E76A04" w:rsidRPr="00700797" w:rsidRDefault="00E76A04" w:rsidP="00DB2788">
            <w:pPr>
              <w:jc w:val="center"/>
              <w:rPr>
                <w:rFonts w:eastAsia="Calibri"/>
              </w:rPr>
            </w:pPr>
            <w:r>
              <w:t>m³</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6A04" w:rsidRPr="00E76A04" w:rsidRDefault="00E76A04" w:rsidP="00DB2788">
            <w:pPr>
              <w:jc w:val="center"/>
              <w:rPr>
                <w:rFonts w:eastAsia="Calibri"/>
                <w:lang w:val="de-DE"/>
              </w:rPr>
            </w:pPr>
            <w:r w:rsidRPr="00E76A04">
              <w:rPr>
                <w:lang w:val="de-DE"/>
              </w:rPr>
              <w:t>Parameter der Gruppe A</w:t>
            </w:r>
          </w:p>
          <w:p w:rsidR="00E76A04" w:rsidRPr="00E76A04" w:rsidRDefault="00E76A04" w:rsidP="00DB2788">
            <w:pPr>
              <w:jc w:val="center"/>
              <w:rPr>
                <w:rFonts w:eastAsia="Calibri"/>
                <w:lang w:val="de-DE"/>
              </w:rPr>
            </w:pPr>
            <w:r w:rsidRPr="00E76A04">
              <w:rPr>
                <w:lang w:val="de-DE"/>
              </w:rPr>
              <w:t xml:space="preserve">Anzahl Proben pro Jahr </w:t>
            </w:r>
          </w:p>
          <w:p w:rsidR="00E76A04" w:rsidRPr="00700797" w:rsidRDefault="00E76A04" w:rsidP="00DB2788">
            <w:pPr>
              <w:jc w:val="center"/>
              <w:rPr>
                <w:rFonts w:eastAsia="Calibri"/>
              </w:rPr>
            </w:pPr>
            <w:r>
              <w:t>(</w:t>
            </w:r>
            <w:proofErr w:type="spellStart"/>
            <w:proofErr w:type="gramStart"/>
            <w:r>
              <w:t>siehe</w:t>
            </w:r>
            <w:proofErr w:type="spellEnd"/>
            <w:proofErr w:type="gramEnd"/>
            <w:r>
              <w:t xml:space="preserve"> </w:t>
            </w:r>
            <w:proofErr w:type="spellStart"/>
            <w:r>
              <w:t>Anm</w:t>
            </w:r>
            <w:proofErr w:type="spellEnd"/>
            <w:r>
              <w:t>. 3)</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6A04" w:rsidRPr="00E76A04" w:rsidRDefault="00E76A04" w:rsidP="00DB2788">
            <w:pPr>
              <w:jc w:val="center"/>
              <w:rPr>
                <w:rFonts w:eastAsia="Calibri"/>
                <w:lang w:val="de-DE"/>
              </w:rPr>
            </w:pPr>
            <w:r w:rsidRPr="00E76A04">
              <w:rPr>
                <w:lang w:val="de-DE"/>
              </w:rPr>
              <w:t>Parameter der Gruppe B</w:t>
            </w:r>
          </w:p>
          <w:p w:rsidR="00E76A04" w:rsidRPr="00E76A04" w:rsidRDefault="00E76A04" w:rsidP="00DB2788">
            <w:pPr>
              <w:jc w:val="center"/>
              <w:rPr>
                <w:rFonts w:eastAsia="Calibri"/>
                <w:lang w:val="de-DE"/>
              </w:rPr>
            </w:pPr>
            <w:r w:rsidRPr="00E76A04">
              <w:rPr>
                <w:lang w:val="de-DE"/>
              </w:rPr>
              <w:t>Anzahl Proben pro Jahr</w:t>
            </w:r>
          </w:p>
        </w:tc>
      </w:tr>
      <w:tr w:rsidR="00E76A04" w:rsidRPr="00700797" w:rsidTr="00883C73">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76A04" w:rsidRPr="00E76A04" w:rsidRDefault="00E76A04" w:rsidP="00DB2788">
            <w:pPr>
              <w:ind w:left="720"/>
              <w:rPr>
                <w:rFonts w:eastAsia="Calibri"/>
                <w:lang w:val="de-DE"/>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76A04" w:rsidRPr="00700797" w:rsidRDefault="00E76A04" w:rsidP="00DB2788">
            <w:pPr>
              <w:jc w:val="center"/>
              <w:rPr>
                <w:rFonts w:eastAsia="Calibri"/>
              </w:rPr>
            </w:pPr>
            <w:r>
              <w:t>≤ 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76A04" w:rsidRPr="00700797" w:rsidRDefault="00E76A04" w:rsidP="00DB2788">
            <w:pPr>
              <w:jc w:val="center"/>
              <w:rPr>
                <w:rFonts w:eastAsia="Calibri"/>
              </w:rPr>
            </w:pPr>
            <w:r>
              <w:t>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76A04" w:rsidRPr="00700797" w:rsidRDefault="00E76A04" w:rsidP="00DB2788">
            <w:pPr>
              <w:jc w:val="center"/>
              <w:rPr>
                <w:rFonts w:eastAsia="Calibri"/>
              </w:rPr>
            </w:pPr>
            <w:r>
              <w:t>1/4 (siehe Anm. 4)</w:t>
            </w:r>
          </w:p>
        </w:tc>
      </w:tr>
      <w:tr w:rsidR="00E76A04" w:rsidRPr="00700797" w:rsidTr="00883C73">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76A04" w:rsidRPr="00700797" w:rsidRDefault="00E76A04" w:rsidP="00DB2788">
            <w:pPr>
              <w:jc w:val="center"/>
              <w:rPr>
                <w:rFonts w:eastAsia="Calibri"/>
              </w:rPr>
            </w:pPr>
            <w:r>
              <w:t>&gt; 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76A04" w:rsidRPr="00700797" w:rsidRDefault="00E76A04" w:rsidP="00DB2788">
            <w:pPr>
              <w:jc w:val="center"/>
              <w:rPr>
                <w:rFonts w:eastAsia="Calibri"/>
              </w:rPr>
            </w:pPr>
            <w:r>
              <w:t>≤ 100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76A04" w:rsidRPr="00700797" w:rsidRDefault="00E76A04" w:rsidP="00DB2788">
            <w:pPr>
              <w:jc w:val="center"/>
              <w:rPr>
                <w:rFonts w:eastAsia="Calibri"/>
              </w:rPr>
            </w:pPr>
            <w:r>
              <w:t>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76A04" w:rsidRPr="00700797" w:rsidRDefault="00E76A04" w:rsidP="00DB2788">
            <w:pPr>
              <w:jc w:val="center"/>
              <w:rPr>
                <w:rFonts w:eastAsia="Calibri"/>
              </w:rPr>
            </w:pPr>
            <w:r>
              <w:t>1/2 (siehe Anm. 4)</w:t>
            </w:r>
          </w:p>
        </w:tc>
      </w:tr>
      <w:tr w:rsidR="00E76A04" w:rsidRPr="00700797" w:rsidTr="00883C73">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76A04" w:rsidRPr="00700797" w:rsidRDefault="00E76A04" w:rsidP="00DB2788">
            <w:pPr>
              <w:jc w:val="center"/>
              <w:rPr>
                <w:rFonts w:eastAsia="Calibri"/>
              </w:rPr>
            </w:pPr>
            <w:r>
              <w:t>&gt; 100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76A04" w:rsidRPr="00700797" w:rsidRDefault="00E76A04" w:rsidP="00DB2788">
            <w:pPr>
              <w:jc w:val="center"/>
              <w:rPr>
                <w:rFonts w:eastAsia="Calibri"/>
              </w:rPr>
            </w:pPr>
            <w:r>
              <w:t>≤ 1 000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center"/>
              <w:rPr>
                <w:rFonts w:eastAsia="Calibri"/>
              </w:rPr>
            </w:pPr>
            <w:r>
              <w:t>4</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center"/>
              <w:rPr>
                <w:rFonts w:eastAsia="Calibri"/>
              </w:rPr>
            </w:pPr>
            <w:r>
              <w:t>1</w:t>
            </w:r>
          </w:p>
        </w:tc>
      </w:tr>
      <w:tr w:rsidR="00E76A04" w:rsidRPr="00E76A04" w:rsidTr="00883C73">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76A04" w:rsidRPr="00700797" w:rsidRDefault="00E76A04" w:rsidP="00DB2788">
            <w:pPr>
              <w:jc w:val="center"/>
              <w:rPr>
                <w:rFonts w:eastAsia="Calibri"/>
              </w:rPr>
            </w:pPr>
            <w:r>
              <w:t>&gt; 1 000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76A04" w:rsidRPr="00700797" w:rsidRDefault="00E76A04" w:rsidP="00DB2788">
            <w:pPr>
              <w:jc w:val="center"/>
              <w:rPr>
                <w:rFonts w:eastAsia="Calibri"/>
              </w:rPr>
            </w:pPr>
            <w:r>
              <w:t>≤ 10 000</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tcPr>
          <w:p w:rsidR="00E76A04" w:rsidRPr="00E76A04" w:rsidRDefault="00E76A04" w:rsidP="00DB2788">
            <w:pPr>
              <w:jc w:val="center"/>
              <w:rPr>
                <w:rFonts w:eastAsia="Calibri"/>
                <w:lang w:val="de-DE"/>
              </w:rPr>
            </w:pPr>
          </w:p>
          <w:p w:rsidR="00E76A04" w:rsidRPr="00E76A04" w:rsidRDefault="00E76A04" w:rsidP="00DB2788">
            <w:pPr>
              <w:jc w:val="center"/>
              <w:rPr>
                <w:rFonts w:eastAsia="Calibri"/>
                <w:lang w:val="de-DE"/>
              </w:rPr>
            </w:pPr>
          </w:p>
          <w:p w:rsidR="00E76A04" w:rsidRPr="00E76A04" w:rsidRDefault="00E76A04" w:rsidP="00DB2788">
            <w:pPr>
              <w:jc w:val="center"/>
              <w:rPr>
                <w:rFonts w:eastAsia="Calibri"/>
                <w:lang w:val="de-DE"/>
              </w:rPr>
            </w:pPr>
          </w:p>
          <w:p w:rsidR="00E76A04" w:rsidRPr="00E76A04" w:rsidRDefault="00E76A04" w:rsidP="00DB2788">
            <w:pPr>
              <w:jc w:val="center"/>
              <w:rPr>
                <w:rFonts w:eastAsia="Calibri"/>
                <w:lang w:val="de-DE"/>
              </w:rPr>
            </w:pPr>
            <w:r w:rsidRPr="00E76A04">
              <w:rPr>
                <w:lang w:val="de-DE"/>
              </w:rPr>
              <w:t>4 + 3 pro 1 000 m</w:t>
            </w:r>
            <w:r w:rsidRPr="00E76A04">
              <w:rPr>
                <w:vertAlign w:val="superscript"/>
                <w:lang w:val="de-DE"/>
              </w:rPr>
              <w:t>3</w:t>
            </w:r>
            <w:r w:rsidRPr="00E76A04">
              <w:rPr>
                <w:lang w:val="de-DE"/>
              </w:rPr>
              <w:t>/Tag und Teil davon, bezogen auf die Gesamtmenge</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6A04" w:rsidRPr="00E76A04" w:rsidRDefault="00E76A04" w:rsidP="00DB2788">
            <w:pPr>
              <w:jc w:val="center"/>
              <w:rPr>
                <w:rFonts w:eastAsia="Calibri"/>
                <w:lang w:val="de-DE"/>
              </w:rPr>
            </w:pPr>
            <w:r w:rsidRPr="00E76A04">
              <w:rPr>
                <w:lang w:val="de-DE"/>
              </w:rPr>
              <w:t>1 + 1 pro 4 500 m</w:t>
            </w:r>
            <w:r w:rsidRPr="00E76A04">
              <w:rPr>
                <w:vertAlign w:val="superscript"/>
                <w:lang w:val="de-DE"/>
              </w:rPr>
              <w:t>3</w:t>
            </w:r>
            <w:r w:rsidRPr="00E76A04">
              <w:rPr>
                <w:lang w:val="de-DE"/>
              </w:rPr>
              <w:t>/Tag und Teil davon, bezogen auf die Gesamtmenge</w:t>
            </w:r>
          </w:p>
        </w:tc>
      </w:tr>
      <w:tr w:rsidR="00E76A04" w:rsidRPr="00E76A04" w:rsidTr="00883C73">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76A04" w:rsidRPr="00700797" w:rsidRDefault="00E76A04" w:rsidP="00DB2788">
            <w:pPr>
              <w:jc w:val="center"/>
              <w:rPr>
                <w:rFonts w:eastAsia="Calibri"/>
              </w:rPr>
            </w:pPr>
            <w:r>
              <w:t>&gt; 10 000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76A04" w:rsidRPr="00700797" w:rsidRDefault="00E76A04" w:rsidP="00DB2788">
            <w:pPr>
              <w:jc w:val="center"/>
              <w:rPr>
                <w:rFonts w:eastAsia="Calibri"/>
              </w:rPr>
            </w:pPr>
            <w:r>
              <w:t>≤ 100 000</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76A04" w:rsidRPr="00700797" w:rsidRDefault="00E76A04" w:rsidP="00DB2788">
            <w:pPr>
              <w:rPr>
                <w:rFonts w:eastAsia="Calibri"/>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6A04" w:rsidRPr="00E76A04" w:rsidRDefault="00E76A04" w:rsidP="00DB2788">
            <w:pPr>
              <w:jc w:val="center"/>
              <w:rPr>
                <w:rFonts w:eastAsia="Calibri"/>
                <w:lang w:val="de-DE"/>
              </w:rPr>
            </w:pPr>
            <w:r w:rsidRPr="00E76A04">
              <w:rPr>
                <w:lang w:val="de-DE"/>
              </w:rPr>
              <w:t>3 + 1 pro 10 000 m</w:t>
            </w:r>
            <w:r w:rsidRPr="00E76A04">
              <w:rPr>
                <w:vertAlign w:val="superscript"/>
                <w:lang w:val="de-DE"/>
              </w:rPr>
              <w:t>3</w:t>
            </w:r>
            <w:r w:rsidRPr="00E76A04">
              <w:rPr>
                <w:lang w:val="de-DE"/>
              </w:rPr>
              <w:t>/Tag und Teil davon, bezogen auf die Gesamtmenge</w:t>
            </w:r>
          </w:p>
        </w:tc>
      </w:tr>
      <w:tr w:rsidR="00E76A04" w:rsidRPr="00E76A04" w:rsidTr="00883C73">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76A04" w:rsidRPr="00700797" w:rsidRDefault="00E76A04" w:rsidP="00DB2788">
            <w:pPr>
              <w:jc w:val="center"/>
              <w:rPr>
                <w:rFonts w:eastAsia="Calibri"/>
              </w:rPr>
            </w:pPr>
            <w:r>
              <w:t>&gt; 100 000</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E76A04" w:rsidRPr="00700797" w:rsidRDefault="00E76A04" w:rsidP="00DB2788">
            <w:pPr>
              <w:jc w:val="center"/>
              <w:rPr>
                <w:rFonts w:eastAsia="Calibri"/>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76A04" w:rsidRPr="00700797" w:rsidRDefault="00E76A04" w:rsidP="00DB2788">
            <w:pPr>
              <w:rPr>
                <w:rFonts w:eastAsia="Calibri"/>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6A04" w:rsidRPr="00E76A04" w:rsidRDefault="00E76A04" w:rsidP="00DB2788">
            <w:pPr>
              <w:jc w:val="center"/>
              <w:rPr>
                <w:rFonts w:eastAsia="Calibri"/>
                <w:lang w:val="de-DE"/>
              </w:rPr>
            </w:pPr>
            <w:r w:rsidRPr="00E76A04">
              <w:rPr>
                <w:lang w:val="de-DE"/>
              </w:rPr>
              <w:t>12 + 1 pro 25 000 m</w:t>
            </w:r>
            <w:r w:rsidRPr="00E76A04">
              <w:rPr>
                <w:vertAlign w:val="superscript"/>
                <w:lang w:val="de-DE"/>
              </w:rPr>
              <w:t>3</w:t>
            </w:r>
            <w:r w:rsidRPr="00E76A04">
              <w:rPr>
                <w:lang w:val="de-DE"/>
              </w:rPr>
              <w:t>/Tag und Teil davon, bezogen auf die Gesamtmenge</w:t>
            </w:r>
          </w:p>
        </w:tc>
      </w:tr>
    </w:tbl>
    <w:p w:rsidR="00E76A04" w:rsidRPr="00E76A04" w:rsidRDefault="00E76A04" w:rsidP="00DB2788">
      <w:pPr>
        <w:jc w:val="both"/>
        <w:rPr>
          <w:lang w:val="de-DE"/>
        </w:rPr>
      </w:pPr>
    </w:p>
    <w:p w:rsidR="00E76A04" w:rsidRPr="00E76A04" w:rsidRDefault="00E76A04">
      <w:pPr>
        <w:rPr>
          <w:lang w:val="de-DE"/>
        </w:rPr>
      </w:pPr>
    </w:p>
    <w:p w:rsidR="00E76A04" w:rsidRDefault="00E76A04" w:rsidP="00DB2788">
      <w:pPr>
        <w:jc w:val="both"/>
      </w:pPr>
      <w:proofErr w:type="spellStart"/>
      <w:r>
        <w:t>Anmerkungen</w:t>
      </w:r>
      <w:proofErr w:type="spellEnd"/>
      <w:r>
        <w:t xml:space="preserve"> </w:t>
      </w:r>
      <w:proofErr w:type="spellStart"/>
      <w:r>
        <w:t>zu</w:t>
      </w:r>
      <w:proofErr w:type="spellEnd"/>
      <w:r>
        <w:t xml:space="preserve"> Tabelle 1:</w:t>
      </w:r>
    </w:p>
    <w:p w:rsidR="00E76A04" w:rsidRPr="00700797" w:rsidRDefault="00E76A04" w:rsidP="00DB2788">
      <w:pPr>
        <w:jc w:val="both"/>
      </w:pPr>
    </w:p>
    <w:tbl>
      <w:tblPr>
        <w:tblW w:w="9072" w:type="dxa"/>
        <w:tblBorders>
          <w:top w:val="single" w:sz="4" w:space="0" w:color="7F7F7F"/>
          <w:bottom w:val="single" w:sz="4" w:space="0" w:color="7F7F7F"/>
        </w:tblBorders>
        <w:tblLook w:val="04A0" w:firstRow="1" w:lastRow="0" w:firstColumn="1" w:lastColumn="0" w:noHBand="0" w:noVBand="1"/>
      </w:tblPr>
      <w:tblGrid>
        <w:gridCol w:w="993"/>
        <w:gridCol w:w="8079"/>
      </w:tblGrid>
      <w:tr w:rsidR="00E76A04" w:rsidRPr="00E76A04" w:rsidTr="00DB2788">
        <w:tc>
          <w:tcPr>
            <w:tcW w:w="993" w:type="dxa"/>
            <w:tcBorders>
              <w:top w:val="single" w:sz="4" w:space="0" w:color="auto"/>
              <w:left w:val="nil"/>
              <w:bottom w:val="single" w:sz="4" w:space="0" w:color="auto"/>
              <w:right w:val="nil"/>
            </w:tcBorders>
            <w:shd w:val="clear" w:color="auto" w:fill="auto"/>
          </w:tcPr>
          <w:p w:rsidR="00E76A04" w:rsidRPr="00700797" w:rsidRDefault="00E76A04" w:rsidP="00DB2788">
            <w:pPr>
              <w:jc w:val="both"/>
              <w:rPr>
                <w:rFonts w:eastAsia="Calibri"/>
                <w:b/>
                <w:bCs/>
              </w:rPr>
            </w:pPr>
            <w:r>
              <w:rPr>
                <w:b/>
              </w:rPr>
              <w:t>Anm. 1</w:t>
            </w:r>
          </w:p>
        </w:tc>
        <w:tc>
          <w:tcPr>
            <w:tcW w:w="8079" w:type="dxa"/>
            <w:tcBorders>
              <w:top w:val="single" w:sz="4" w:space="0" w:color="auto"/>
              <w:left w:val="nil"/>
              <w:bottom w:val="single" w:sz="4" w:space="0" w:color="auto"/>
              <w:right w:val="nil"/>
            </w:tcBorders>
            <w:shd w:val="clear" w:color="auto" w:fill="auto"/>
          </w:tcPr>
          <w:p w:rsidR="00E76A04" w:rsidRPr="00E76A04" w:rsidRDefault="00E76A04" w:rsidP="00DB2788">
            <w:pPr>
              <w:jc w:val="both"/>
              <w:rPr>
                <w:rFonts w:eastAsia="Calibri"/>
                <w:bCs/>
                <w:lang w:val="de-DE"/>
              </w:rPr>
            </w:pPr>
            <w:r w:rsidRPr="00E76A04">
              <w:rPr>
                <w:lang w:val="de-DE"/>
              </w:rPr>
              <w:t>Bei den Mengen handelt es sich um die verwendeten Mengen aus einer oder mehreren Quellen bzw. Brunnen, deren Wasserqualität nahezu einheitlich ist.</w:t>
            </w:r>
          </w:p>
        </w:tc>
      </w:tr>
      <w:tr w:rsidR="00E76A04" w:rsidRPr="00E76A04" w:rsidTr="00DB2788">
        <w:tc>
          <w:tcPr>
            <w:tcW w:w="993" w:type="dxa"/>
            <w:tcBorders>
              <w:top w:val="single" w:sz="4" w:space="0" w:color="auto"/>
              <w:left w:val="nil"/>
              <w:bottom w:val="single" w:sz="4" w:space="0" w:color="auto"/>
              <w:right w:val="nil"/>
            </w:tcBorders>
            <w:shd w:val="clear" w:color="auto" w:fill="auto"/>
            <w:hideMark/>
          </w:tcPr>
          <w:p w:rsidR="00E76A04" w:rsidRPr="00700797" w:rsidRDefault="00E76A04" w:rsidP="00DB2788">
            <w:pPr>
              <w:jc w:val="both"/>
              <w:rPr>
                <w:rFonts w:eastAsia="Calibri"/>
                <w:b/>
                <w:bCs/>
              </w:rPr>
            </w:pPr>
            <w:proofErr w:type="spellStart"/>
            <w:r>
              <w:rPr>
                <w:b/>
              </w:rPr>
              <w:t>Anm</w:t>
            </w:r>
            <w:proofErr w:type="spellEnd"/>
            <w:r>
              <w:rPr>
                <w:b/>
              </w:rPr>
              <w:t>. 2</w:t>
            </w:r>
          </w:p>
        </w:tc>
        <w:tc>
          <w:tcPr>
            <w:tcW w:w="8079" w:type="dxa"/>
            <w:tcBorders>
              <w:top w:val="single" w:sz="4" w:space="0" w:color="auto"/>
              <w:left w:val="nil"/>
              <w:bottom w:val="single" w:sz="4" w:space="0" w:color="auto"/>
              <w:right w:val="nil"/>
            </w:tcBorders>
            <w:shd w:val="clear" w:color="auto" w:fill="auto"/>
            <w:hideMark/>
          </w:tcPr>
          <w:p w:rsidR="00E76A04" w:rsidRPr="00E76A04" w:rsidRDefault="00E76A04" w:rsidP="00DB2788">
            <w:pPr>
              <w:jc w:val="both"/>
              <w:rPr>
                <w:rFonts w:eastAsia="Calibri"/>
                <w:lang w:val="de-DE"/>
              </w:rPr>
            </w:pPr>
            <w:r w:rsidRPr="00E76A04">
              <w:rPr>
                <w:lang w:val="de-DE"/>
              </w:rPr>
              <w:t xml:space="preserve">Die Mengen werden als Mittelwerte über ein Kalenderjahr hinweg berechnet. </w:t>
            </w:r>
          </w:p>
        </w:tc>
      </w:tr>
      <w:tr w:rsidR="00E76A04" w:rsidRPr="00E76A04" w:rsidTr="00DB2788">
        <w:tc>
          <w:tcPr>
            <w:tcW w:w="993" w:type="dxa"/>
            <w:tcBorders>
              <w:top w:val="single" w:sz="4" w:space="0" w:color="auto"/>
              <w:left w:val="nil"/>
              <w:bottom w:val="single" w:sz="4" w:space="0" w:color="auto"/>
              <w:right w:val="nil"/>
            </w:tcBorders>
            <w:shd w:val="clear" w:color="auto" w:fill="auto"/>
            <w:hideMark/>
          </w:tcPr>
          <w:p w:rsidR="00E76A04" w:rsidRPr="00700797" w:rsidRDefault="00E76A04" w:rsidP="00DB2788">
            <w:pPr>
              <w:jc w:val="both"/>
              <w:rPr>
                <w:rFonts w:eastAsia="Calibri"/>
                <w:b/>
                <w:bCs/>
              </w:rPr>
            </w:pPr>
            <w:proofErr w:type="spellStart"/>
            <w:r>
              <w:rPr>
                <w:b/>
              </w:rPr>
              <w:t>Anm</w:t>
            </w:r>
            <w:proofErr w:type="spellEnd"/>
            <w:r>
              <w:rPr>
                <w:b/>
              </w:rPr>
              <w:t>. 3</w:t>
            </w:r>
          </w:p>
        </w:tc>
        <w:tc>
          <w:tcPr>
            <w:tcW w:w="8079" w:type="dxa"/>
            <w:tcBorders>
              <w:top w:val="single" w:sz="4" w:space="0" w:color="auto"/>
              <w:left w:val="nil"/>
              <w:bottom w:val="single" w:sz="4" w:space="0" w:color="auto"/>
              <w:right w:val="nil"/>
            </w:tcBorders>
            <w:shd w:val="clear" w:color="auto" w:fill="auto"/>
            <w:hideMark/>
          </w:tcPr>
          <w:p w:rsidR="00E76A04" w:rsidRPr="00E76A04" w:rsidRDefault="00E76A04" w:rsidP="000E1177">
            <w:pPr>
              <w:jc w:val="both"/>
              <w:rPr>
                <w:rFonts w:eastAsia="Calibri"/>
                <w:lang w:val="de-DE"/>
              </w:rPr>
            </w:pPr>
            <w:r w:rsidRPr="00E76A04">
              <w:rPr>
                <w:lang w:val="de-DE"/>
              </w:rPr>
              <w:t>Die angegebene Häufigkeit wird wie folgt errechnet: z. B. 4 300 m³/Tag = 16 Pro-</w:t>
            </w:r>
            <w:proofErr w:type="spellStart"/>
            <w:r w:rsidRPr="00E76A04">
              <w:rPr>
                <w:lang w:val="de-DE"/>
              </w:rPr>
              <w:t>ben</w:t>
            </w:r>
            <w:proofErr w:type="spellEnd"/>
            <w:r w:rsidRPr="00E76A04">
              <w:rPr>
                <w:lang w:val="de-DE"/>
              </w:rPr>
              <w:t xml:space="preserve"> (vier für die ersten 1 000 m³/Tag + zwölf für die zusätzlichen 3 300 m³/Tag).</w:t>
            </w:r>
          </w:p>
        </w:tc>
      </w:tr>
      <w:tr w:rsidR="00E76A04" w:rsidRPr="00E76A04" w:rsidDel="0078009B" w:rsidTr="00DB2788">
        <w:tc>
          <w:tcPr>
            <w:tcW w:w="993" w:type="dxa"/>
            <w:tcBorders>
              <w:top w:val="single" w:sz="4" w:space="0" w:color="auto"/>
              <w:left w:val="nil"/>
              <w:bottom w:val="single" w:sz="4" w:space="0" w:color="auto"/>
              <w:right w:val="nil"/>
            </w:tcBorders>
            <w:shd w:val="clear" w:color="auto" w:fill="auto"/>
          </w:tcPr>
          <w:p w:rsidR="00E76A04" w:rsidRPr="00700797" w:rsidDel="0078009B" w:rsidRDefault="00E76A04" w:rsidP="00DB2788">
            <w:pPr>
              <w:jc w:val="both"/>
              <w:rPr>
                <w:rFonts w:eastAsia="Calibri"/>
                <w:b/>
                <w:bCs/>
              </w:rPr>
            </w:pPr>
            <w:proofErr w:type="spellStart"/>
            <w:r>
              <w:rPr>
                <w:b/>
              </w:rPr>
              <w:t>Anm</w:t>
            </w:r>
            <w:proofErr w:type="spellEnd"/>
            <w:r>
              <w:rPr>
                <w:b/>
              </w:rPr>
              <w:t>. 4</w:t>
            </w:r>
          </w:p>
        </w:tc>
        <w:tc>
          <w:tcPr>
            <w:tcW w:w="8079" w:type="dxa"/>
            <w:tcBorders>
              <w:top w:val="single" w:sz="4" w:space="0" w:color="auto"/>
              <w:left w:val="nil"/>
              <w:bottom w:val="single" w:sz="4" w:space="0" w:color="auto"/>
              <w:right w:val="nil"/>
            </w:tcBorders>
            <w:shd w:val="clear" w:color="auto" w:fill="auto"/>
          </w:tcPr>
          <w:p w:rsidR="00E76A04" w:rsidRPr="00E76A04" w:rsidDel="0078009B" w:rsidRDefault="00E76A04" w:rsidP="00DB2788">
            <w:pPr>
              <w:jc w:val="both"/>
              <w:rPr>
                <w:rFonts w:eastAsia="Calibri"/>
                <w:lang w:val="de-DE"/>
              </w:rPr>
            </w:pPr>
            <w:r w:rsidRPr="00E76A04">
              <w:rPr>
                <w:lang w:val="de-DE"/>
              </w:rPr>
              <w:t xml:space="preserve">"1/4" und "1/2" bedeuten, dass die Mindesthäufigkeit der Probenahme und Analyse einmal alle vier Jahre bzw. einmal alle zwei Jahre beträgt. </w:t>
            </w:r>
          </w:p>
        </w:tc>
      </w:tr>
    </w:tbl>
    <w:p w:rsidR="00E76A04" w:rsidRPr="00E76A04" w:rsidRDefault="00E76A04" w:rsidP="00DB2788">
      <w:pPr>
        <w:rPr>
          <w:lang w:val="de-DE"/>
        </w:rPr>
      </w:pPr>
    </w:p>
    <w:p w:rsidR="00E76A04" w:rsidRPr="00E76A04" w:rsidRDefault="00E76A04" w:rsidP="00DB2788">
      <w:pPr>
        <w:rPr>
          <w:lang w:val="de-DE"/>
        </w:rPr>
      </w:pPr>
      <w:r w:rsidRPr="00E76A04">
        <w:rPr>
          <w:u w:val="single"/>
          <w:lang w:val="de-DE"/>
        </w:rPr>
        <w:t>Teil C</w:t>
      </w:r>
      <w:r w:rsidRPr="00E76A04">
        <w:rPr>
          <w:lang w:val="de-DE"/>
        </w:rPr>
        <w:t>: Risikobewertung</w:t>
      </w:r>
    </w:p>
    <w:p w:rsidR="00E76A04" w:rsidRPr="00E76A04" w:rsidRDefault="00E76A04" w:rsidP="00DB2788">
      <w:pPr>
        <w:rPr>
          <w:lang w:val="de-DE"/>
        </w:rPr>
      </w:pPr>
    </w:p>
    <w:p w:rsidR="00E76A04" w:rsidRPr="00E76A04" w:rsidRDefault="00E76A04" w:rsidP="00DB2788">
      <w:pPr>
        <w:jc w:val="both"/>
        <w:rPr>
          <w:lang w:val="de-DE"/>
        </w:rPr>
      </w:pPr>
      <w:r w:rsidRPr="00E76A04">
        <w:rPr>
          <w:lang w:val="de-DE"/>
        </w:rPr>
        <w:t xml:space="preserve">1. Die zuständige Behörde kann Betreibern von Lebensmitteleinrichtungen die Möglichkeit einräumen, auf der Grundlage der Ergebnisse einer Risikobewertung von den in Teil B vorgesehenen Parametern und </w:t>
      </w:r>
      <w:proofErr w:type="spellStart"/>
      <w:r w:rsidRPr="00E76A04">
        <w:rPr>
          <w:lang w:val="de-DE"/>
        </w:rPr>
        <w:t>Probenahmehäufigkeiten</w:t>
      </w:r>
      <w:proofErr w:type="spellEnd"/>
      <w:r w:rsidRPr="00E76A04">
        <w:rPr>
          <w:lang w:val="de-DE"/>
        </w:rPr>
        <w:t xml:space="preserve"> abzuweichen.</w:t>
      </w:r>
    </w:p>
    <w:p w:rsidR="00E76A04" w:rsidRPr="00E76A04" w:rsidRDefault="00E76A04" w:rsidP="00DB2788">
      <w:pPr>
        <w:jc w:val="both"/>
        <w:rPr>
          <w:lang w:val="de-DE"/>
        </w:rPr>
      </w:pPr>
    </w:p>
    <w:p w:rsidR="00E76A04" w:rsidRPr="00E76A04" w:rsidRDefault="00E76A04" w:rsidP="00DB2788">
      <w:pPr>
        <w:jc w:val="both"/>
        <w:rPr>
          <w:lang w:val="de-DE"/>
        </w:rPr>
      </w:pPr>
      <w:r w:rsidRPr="00E76A04">
        <w:rPr>
          <w:lang w:val="de-DE"/>
        </w:rPr>
        <w:t>2. Die in Nr. 1 erwähnte Risikobewertung wird im Rahmen des Eigenkontrollsystems des Betreibers einer Lebensmitteleinrichtung durchgeführt und stützt sich auf die Grundsätze der "Gefahrenanalyse und Bestimmung kritischer Kontrollpunkte" ("HACCP-Grundsätze"). Sie berücksichtigt gegebenenfalls die allgemeinen Grundsätze der Risikobewertung, die in Ver</w:t>
      </w:r>
      <w:r w:rsidRPr="00E76A04">
        <w:rPr>
          <w:lang w:val="de-DE"/>
        </w:rPr>
        <w:softHyphen/>
        <w:t>bindung mit internationalen Normen wie der Norm EN 15975-2 "Sicherheit der Trink</w:t>
      </w:r>
      <w:r w:rsidRPr="00E76A04">
        <w:rPr>
          <w:lang w:val="de-DE"/>
        </w:rPr>
        <w:softHyphen/>
        <w:t>wasserversorgung - Leitlinien für das Risiko- und Krisenmanagement" aufgestellt wurden.</w:t>
      </w:r>
    </w:p>
    <w:p w:rsidR="00E76A04" w:rsidRPr="00E76A04" w:rsidRDefault="00E76A04" w:rsidP="00DB2788">
      <w:pPr>
        <w:jc w:val="both"/>
        <w:rPr>
          <w:lang w:val="de-DE"/>
        </w:rPr>
      </w:pPr>
    </w:p>
    <w:p w:rsidR="00E76A04" w:rsidRPr="00E76A04" w:rsidRDefault="00E76A04" w:rsidP="00DB2788">
      <w:pPr>
        <w:jc w:val="both"/>
        <w:rPr>
          <w:lang w:val="de-DE"/>
        </w:rPr>
      </w:pPr>
      <w:r w:rsidRPr="00E76A04">
        <w:rPr>
          <w:lang w:val="de-DE"/>
        </w:rPr>
        <w:t>3. Bei der in Nr. 1 erwähnten Risikobewertung werden die Ergebnisse aus den Überwachungs</w:t>
      </w:r>
      <w:r w:rsidRPr="00E76A04">
        <w:rPr>
          <w:lang w:val="de-DE"/>
        </w:rPr>
        <w:softHyphen/>
        <w:t>programmen berücksichtigt, die in den von den Regionen festgelegten Umsetzungs</w:t>
      </w:r>
      <w:r w:rsidRPr="00E76A04">
        <w:rPr>
          <w:lang w:val="de-DE"/>
        </w:rPr>
        <w:softHyphen/>
        <w:t>bestimmungen von Artikel 7 Absatz 1 Unterabsatz 2 und Artikel 8 der Richtlinie 2000/60/EG zur Schaffung eines Ordnungsrahmens für Maßnahmen der Gemeinschaft im Bereich der Wasserpolitik gefordert sind, und zwar für die in Artikel 7 Absatz 1 aufgeführten Wasser</w:t>
      </w:r>
      <w:r w:rsidRPr="00E76A04">
        <w:rPr>
          <w:lang w:val="de-DE"/>
        </w:rPr>
        <w:softHyphen/>
        <w:t>körper, die gemäß Anhang V dieser Richtlinie durchschnittlich mehr als 100 m³ täglich liefern.</w:t>
      </w:r>
    </w:p>
    <w:p w:rsidR="00E76A04" w:rsidRPr="00E76A04" w:rsidRDefault="00E76A04" w:rsidP="00DB2788">
      <w:pPr>
        <w:jc w:val="both"/>
        <w:rPr>
          <w:lang w:val="de-DE"/>
        </w:rPr>
      </w:pPr>
    </w:p>
    <w:p w:rsidR="00E76A04" w:rsidRPr="00E76A04" w:rsidRDefault="00E76A04" w:rsidP="00DB2788">
      <w:pPr>
        <w:jc w:val="both"/>
        <w:rPr>
          <w:lang w:val="de-DE"/>
        </w:rPr>
      </w:pPr>
      <w:r w:rsidRPr="00E76A04">
        <w:rPr>
          <w:lang w:val="de-DE"/>
        </w:rPr>
        <w:t xml:space="preserve">4. Auf Grundlage der Ergebnisse der Risikobewertung wird die Parameterliste in Teil B Nr. 2 erweitert und/oder werden die </w:t>
      </w:r>
      <w:proofErr w:type="spellStart"/>
      <w:r w:rsidRPr="00E76A04">
        <w:rPr>
          <w:lang w:val="de-DE"/>
        </w:rPr>
        <w:t>Probenahmehäufigkeiten</w:t>
      </w:r>
      <w:proofErr w:type="spellEnd"/>
      <w:r w:rsidRPr="00E76A04">
        <w:rPr>
          <w:lang w:val="de-DE"/>
        </w:rPr>
        <w:t xml:space="preserve"> in Teil B Nr. 3 erhöht, wenn eine der folgenden Bedingungen zutrifft:</w:t>
      </w:r>
    </w:p>
    <w:p w:rsidR="00E76A04" w:rsidRPr="00E76A04" w:rsidRDefault="00E76A04" w:rsidP="00DB2788">
      <w:pPr>
        <w:ind w:left="708"/>
        <w:jc w:val="both"/>
        <w:rPr>
          <w:lang w:val="de-DE"/>
        </w:rPr>
      </w:pPr>
      <w:r w:rsidRPr="00E76A04">
        <w:rPr>
          <w:lang w:val="de-DE"/>
        </w:rPr>
        <w:t>a) Die Liste der Parameter oder Häufigkeiten reicht nicht aus, um die Verpflichtungen aufgrund von Artikel 7 Absatz 1 zu erfüllen.</w:t>
      </w:r>
    </w:p>
    <w:p w:rsidR="00E76A04" w:rsidRPr="00E76A04" w:rsidRDefault="00E76A04" w:rsidP="00DB2788">
      <w:pPr>
        <w:ind w:left="708"/>
        <w:jc w:val="both"/>
        <w:rPr>
          <w:lang w:val="de-DE"/>
        </w:rPr>
      </w:pPr>
      <w:r w:rsidRPr="00E76A04">
        <w:rPr>
          <w:lang w:val="de-DE"/>
        </w:rPr>
        <w:t>b) Für die Zwecke von Artikel 7 Absatz 4 ist eine weitere Überwachung erforderlich.</w:t>
      </w:r>
    </w:p>
    <w:p w:rsidR="00E76A04" w:rsidRPr="00E76A04" w:rsidRDefault="00E76A04" w:rsidP="00DB2788">
      <w:pPr>
        <w:ind w:left="708"/>
        <w:jc w:val="both"/>
        <w:rPr>
          <w:lang w:val="de-DE"/>
        </w:rPr>
      </w:pPr>
      <w:r w:rsidRPr="00E76A04">
        <w:rPr>
          <w:lang w:val="de-DE"/>
        </w:rPr>
        <w:t>c) Es ist notwendig, die erforderliche Sicherheit gemäß Teil A Nr. 1 Buchstabe a zu gewährleisten.</w:t>
      </w:r>
    </w:p>
    <w:p w:rsidR="00E76A04" w:rsidRPr="00E76A04" w:rsidRDefault="00E76A04" w:rsidP="00DB2788">
      <w:pPr>
        <w:ind w:left="708"/>
        <w:jc w:val="both"/>
        <w:rPr>
          <w:lang w:val="de-DE"/>
        </w:rPr>
      </w:pPr>
    </w:p>
    <w:p w:rsidR="00E76A04" w:rsidRPr="00E76A04" w:rsidRDefault="00E76A04" w:rsidP="00DB2788">
      <w:pPr>
        <w:jc w:val="both"/>
        <w:rPr>
          <w:lang w:val="de-DE"/>
        </w:rPr>
      </w:pPr>
      <w:r w:rsidRPr="00E76A04">
        <w:rPr>
          <w:lang w:val="de-DE"/>
        </w:rPr>
        <w:t xml:space="preserve">5. Auf Grundlage der Ergebnisse der Risikobewertung kann die Parameterliste in Teil B Nr. 2 verkürzt und können die </w:t>
      </w:r>
      <w:proofErr w:type="spellStart"/>
      <w:r w:rsidRPr="00E76A04">
        <w:rPr>
          <w:lang w:val="de-DE"/>
        </w:rPr>
        <w:t>Probenahmehäufigkeiten</w:t>
      </w:r>
      <w:proofErr w:type="spellEnd"/>
      <w:r w:rsidRPr="00E76A04">
        <w:rPr>
          <w:lang w:val="de-DE"/>
        </w:rPr>
        <w:t xml:space="preserve"> in Teil B Nr. 3 verringert werden, sofern die folgenden Bedingungen erfüllt sind:</w:t>
      </w:r>
    </w:p>
    <w:p w:rsidR="00E76A04" w:rsidRPr="00E76A04" w:rsidRDefault="00E76A04" w:rsidP="00DB2788">
      <w:pPr>
        <w:ind w:left="708"/>
        <w:jc w:val="both"/>
        <w:rPr>
          <w:lang w:val="de-DE"/>
        </w:rPr>
      </w:pPr>
      <w:r w:rsidRPr="00E76A04">
        <w:rPr>
          <w:lang w:val="de-DE"/>
        </w:rPr>
        <w:t xml:space="preserve">a) Die Häufigkeit der Probenahmen zum Nachweis von </w:t>
      </w:r>
      <w:r w:rsidRPr="00E76A04">
        <w:rPr>
          <w:i/>
          <w:lang w:val="de-DE"/>
        </w:rPr>
        <w:t>E. coli</w:t>
      </w:r>
      <w:r w:rsidRPr="00E76A04">
        <w:rPr>
          <w:lang w:val="de-DE"/>
        </w:rPr>
        <w:t xml:space="preserve"> darf in keinem Fall geringer sein als in Teil B Nr. 3 vorgesehen.</w:t>
      </w:r>
    </w:p>
    <w:p w:rsidR="00E76A04" w:rsidRPr="00E76A04" w:rsidRDefault="00E76A04" w:rsidP="00DB2788">
      <w:pPr>
        <w:ind w:left="708"/>
        <w:jc w:val="both"/>
        <w:rPr>
          <w:lang w:val="de-DE"/>
        </w:rPr>
      </w:pPr>
      <w:r w:rsidRPr="00E76A04">
        <w:rPr>
          <w:lang w:val="de-DE"/>
        </w:rPr>
        <w:t>b) Für alle anderen Parameter gilt:</w:t>
      </w:r>
    </w:p>
    <w:p w:rsidR="00E76A04" w:rsidRPr="00E76A04" w:rsidRDefault="00E76A04" w:rsidP="00E76A04">
      <w:pPr>
        <w:ind w:left="1416"/>
        <w:jc w:val="both"/>
        <w:rPr>
          <w:lang w:val="de-DE"/>
        </w:rPr>
      </w:pPr>
      <w:r w:rsidRPr="00E76A04">
        <w:rPr>
          <w:lang w:val="de-DE"/>
        </w:rPr>
        <w:t>i) Ort und Häufigkeit der Probenahmen werden, unter Berücksichtigung von Artikel 6, in Abhängigkeit von dem Ursprung des Parameters und den Schwankungen und langfristigen Trends seiner Konzentration bestimmt.</w:t>
      </w:r>
    </w:p>
    <w:p w:rsidR="00E76A04" w:rsidRPr="00E76A04" w:rsidRDefault="00E76A04" w:rsidP="00DB2788">
      <w:pPr>
        <w:ind w:left="1416"/>
        <w:jc w:val="both"/>
        <w:rPr>
          <w:lang w:val="de-DE"/>
        </w:rPr>
      </w:pPr>
      <w:r w:rsidRPr="00E76A04">
        <w:rPr>
          <w:lang w:val="de-DE"/>
        </w:rPr>
        <w:t>ii) Die in Teil B Nr. 3 genannte Mindesthäufigkeit der Probenahmen zum Nach</w:t>
      </w:r>
      <w:r w:rsidRPr="00E76A04">
        <w:rPr>
          <w:lang w:val="de-DE"/>
        </w:rPr>
        <w:softHyphen/>
        <w:t xml:space="preserve">weis eines Parameters darf dann verringert werden, wenn die Ergebnisse aus Proben, die regelmäßig über einen Zeitraum von mindestens drei Jahren an repräsentativen </w:t>
      </w:r>
      <w:proofErr w:type="spellStart"/>
      <w:r w:rsidRPr="00E76A04">
        <w:rPr>
          <w:lang w:val="de-DE"/>
        </w:rPr>
        <w:t>Probenahmestellen</w:t>
      </w:r>
      <w:proofErr w:type="spellEnd"/>
      <w:r w:rsidRPr="00E76A04">
        <w:rPr>
          <w:lang w:val="de-DE"/>
        </w:rPr>
        <w:t xml:space="preserve"> genommen werden, weniger als 60 Prozent des Parameterwerts betragen.</w:t>
      </w:r>
    </w:p>
    <w:p w:rsidR="00E76A04" w:rsidRPr="00E76A04" w:rsidRDefault="00E76A04" w:rsidP="00DB2788">
      <w:pPr>
        <w:ind w:left="1416"/>
        <w:jc w:val="both"/>
        <w:rPr>
          <w:lang w:val="de-DE"/>
        </w:rPr>
      </w:pPr>
      <w:r w:rsidRPr="00E76A04">
        <w:rPr>
          <w:lang w:val="de-DE"/>
        </w:rPr>
        <w:t xml:space="preserve">iii) Ein Parameter darf dann von der Liste der zu überwachenden Parameter gemäß Teil B Nr. 2 gestrichen werden, wenn die Ergebnisse aus Proben, die regelmäßig über einen Zeitraum von mindestens drei Jahren an repräsentativen </w:t>
      </w:r>
      <w:proofErr w:type="spellStart"/>
      <w:r w:rsidRPr="00E76A04">
        <w:rPr>
          <w:lang w:val="de-DE"/>
        </w:rPr>
        <w:t>Probenahmestellen</w:t>
      </w:r>
      <w:proofErr w:type="spellEnd"/>
      <w:r w:rsidRPr="00E76A04">
        <w:rPr>
          <w:lang w:val="de-DE"/>
        </w:rPr>
        <w:t xml:space="preserve"> genommen werden, weniger als 30 Prozent des Parameter</w:t>
      </w:r>
      <w:r w:rsidRPr="00E76A04">
        <w:rPr>
          <w:lang w:val="de-DE"/>
        </w:rPr>
        <w:softHyphen/>
        <w:t xml:space="preserve">werts betragen. </w:t>
      </w:r>
    </w:p>
    <w:p w:rsidR="00E76A04" w:rsidRPr="00E76A04" w:rsidRDefault="00E76A04" w:rsidP="00DB2788">
      <w:pPr>
        <w:ind w:left="1416"/>
        <w:jc w:val="both"/>
        <w:rPr>
          <w:lang w:val="de-DE"/>
        </w:rPr>
      </w:pPr>
      <w:r w:rsidRPr="00E76A04">
        <w:rPr>
          <w:lang w:val="de-DE"/>
        </w:rPr>
        <w:t>iv) Die Streichung eines bestimmten, in Teil B Nr. 2 genannten Parameters aus der Liste der zu überwachenden Parameter beruht auf dem Ergebnis der Risikobewertung, in das die Ergebnisse der Überwachung der Wasserressourcen eingeflossen sind, und das bestätigt, dass die menschliche Gesundheit vor nachteiligen Einflüssen geschützt ist, die sich aus einer etwaigen Wasser</w:t>
      </w:r>
      <w:r w:rsidRPr="00E76A04">
        <w:rPr>
          <w:lang w:val="de-DE"/>
        </w:rPr>
        <w:softHyphen/>
        <w:t>verunreinigung ergeben.</w:t>
      </w:r>
    </w:p>
    <w:p w:rsidR="00E76A04" w:rsidRPr="00E76A04" w:rsidRDefault="00E76A04" w:rsidP="00DB2788">
      <w:pPr>
        <w:ind w:left="1416"/>
        <w:jc w:val="both"/>
        <w:rPr>
          <w:lang w:val="de-DE"/>
        </w:rPr>
      </w:pPr>
      <w:r w:rsidRPr="00E76A04">
        <w:rPr>
          <w:lang w:val="de-DE"/>
        </w:rPr>
        <w:t xml:space="preserve">v) Die Verringerung der </w:t>
      </w:r>
      <w:proofErr w:type="spellStart"/>
      <w:r w:rsidRPr="00E76A04">
        <w:rPr>
          <w:lang w:val="de-DE"/>
        </w:rPr>
        <w:t>Probenahmehäufigkeit</w:t>
      </w:r>
      <w:proofErr w:type="spellEnd"/>
      <w:r w:rsidRPr="00E76A04">
        <w:rPr>
          <w:lang w:val="de-DE"/>
        </w:rPr>
        <w:t xml:space="preserve"> oder die Streichung eines Parameters aus der Liste der zu überwachenden Parameter gemäß den Ziffern ii und iii ist nur zulässig, wenn die Risikobewertung bestätigt, dass kein Umstand abzusehen ist, der eine Verschlechterung der Wasserqualität verursachen würde.</w:t>
      </w:r>
    </w:p>
    <w:p w:rsidR="00E76A04" w:rsidRPr="00E76A04" w:rsidRDefault="00E76A04" w:rsidP="00DB2788">
      <w:pPr>
        <w:ind w:left="1416"/>
        <w:jc w:val="both"/>
        <w:rPr>
          <w:lang w:val="de-DE"/>
        </w:rPr>
      </w:pPr>
    </w:p>
    <w:p w:rsidR="00E76A04" w:rsidRPr="00E76A04" w:rsidRDefault="00E76A04" w:rsidP="00DB2788">
      <w:pPr>
        <w:jc w:val="both"/>
        <w:rPr>
          <w:lang w:val="de-DE"/>
        </w:rPr>
      </w:pPr>
      <w:r w:rsidRPr="00E76A04">
        <w:rPr>
          <w:lang w:val="de-DE"/>
        </w:rPr>
        <w:t>6. Betreiber von Lebensmitteleinrichtungen stellen sicher, dass:</w:t>
      </w:r>
    </w:p>
    <w:p w:rsidR="00E76A04" w:rsidRPr="00E76A04" w:rsidRDefault="00E76A04" w:rsidP="00DB2788">
      <w:pPr>
        <w:ind w:left="708"/>
        <w:jc w:val="both"/>
        <w:rPr>
          <w:lang w:val="de-DE"/>
        </w:rPr>
      </w:pPr>
      <w:r w:rsidRPr="00E76A04">
        <w:rPr>
          <w:lang w:val="de-DE"/>
        </w:rPr>
        <w:t>a) Risikobewertungen von der zuständigen Behörde genehmigt werden,</w:t>
      </w:r>
    </w:p>
    <w:p w:rsidR="00E76A04" w:rsidRPr="00E76A04" w:rsidRDefault="00E76A04" w:rsidP="00DB2788">
      <w:pPr>
        <w:ind w:left="708"/>
        <w:jc w:val="both"/>
        <w:rPr>
          <w:lang w:val="de-DE"/>
        </w:rPr>
      </w:pPr>
      <w:r w:rsidRPr="00E76A04">
        <w:rPr>
          <w:lang w:val="de-DE"/>
        </w:rPr>
        <w:t>b) Informationen, aus denen hervorgeht, dass eine Risikobewertung durchgeführt wurde, zusammen mit einer Zusammenfassung der Ergebnisse vorliegen.</w:t>
      </w:r>
    </w:p>
    <w:p w:rsidR="00E76A04" w:rsidRPr="00E76A04" w:rsidRDefault="00E76A04" w:rsidP="00DB2788">
      <w:pPr>
        <w:ind w:left="708"/>
        <w:jc w:val="both"/>
        <w:rPr>
          <w:lang w:val="de-DE"/>
        </w:rPr>
      </w:pPr>
    </w:p>
    <w:p w:rsidR="00E76A04" w:rsidRPr="00E76A04" w:rsidRDefault="00E76A04" w:rsidP="00DB2788">
      <w:pPr>
        <w:jc w:val="both"/>
        <w:rPr>
          <w:lang w:val="de-DE"/>
        </w:rPr>
      </w:pPr>
      <w:r w:rsidRPr="00E76A04">
        <w:rPr>
          <w:u w:val="single"/>
          <w:lang w:val="de-DE"/>
        </w:rPr>
        <w:t>Teil D</w:t>
      </w:r>
      <w:r w:rsidRPr="00E76A04">
        <w:rPr>
          <w:lang w:val="de-DE"/>
        </w:rPr>
        <w:t xml:space="preserve">: </w:t>
      </w:r>
      <w:proofErr w:type="spellStart"/>
      <w:r w:rsidRPr="00E76A04">
        <w:rPr>
          <w:lang w:val="de-DE"/>
        </w:rPr>
        <w:t>Probenahmeverfahren</w:t>
      </w:r>
      <w:proofErr w:type="spellEnd"/>
      <w:r w:rsidRPr="00E76A04">
        <w:rPr>
          <w:lang w:val="de-DE"/>
        </w:rPr>
        <w:t xml:space="preserve"> und </w:t>
      </w:r>
      <w:proofErr w:type="spellStart"/>
      <w:r w:rsidRPr="00E76A04">
        <w:rPr>
          <w:lang w:val="de-DE"/>
        </w:rPr>
        <w:t>Probenahmestellen</w:t>
      </w:r>
      <w:proofErr w:type="spellEnd"/>
    </w:p>
    <w:p w:rsidR="00E76A04" w:rsidRPr="00E76A04" w:rsidRDefault="00E76A04" w:rsidP="00DB2788">
      <w:pPr>
        <w:jc w:val="both"/>
        <w:rPr>
          <w:lang w:val="de-DE"/>
        </w:rPr>
      </w:pPr>
    </w:p>
    <w:p w:rsidR="00E76A04" w:rsidRPr="00E76A04" w:rsidRDefault="00E76A04" w:rsidP="00DB2788">
      <w:pPr>
        <w:jc w:val="both"/>
        <w:rPr>
          <w:lang w:val="de-DE"/>
        </w:rPr>
      </w:pPr>
      <w:r w:rsidRPr="00E76A04">
        <w:rPr>
          <w:lang w:val="de-DE"/>
        </w:rPr>
        <w:t xml:space="preserve">1. Die </w:t>
      </w:r>
      <w:proofErr w:type="spellStart"/>
      <w:r w:rsidRPr="00E76A04">
        <w:rPr>
          <w:lang w:val="de-DE"/>
        </w:rPr>
        <w:t>Probenahmestellen</w:t>
      </w:r>
      <w:proofErr w:type="spellEnd"/>
      <w:r w:rsidRPr="00E76A04">
        <w:rPr>
          <w:lang w:val="de-DE"/>
        </w:rPr>
        <w:t xml:space="preserve"> werden so bestimmt, dass die Parameterwerte an den in Artikel 6 definierten Stellen der Einhaltung eingehalten werden. Die Probenahmen sind nach Mög</w:t>
      </w:r>
      <w:r w:rsidRPr="00E76A04">
        <w:rPr>
          <w:lang w:val="de-DE"/>
        </w:rPr>
        <w:softHyphen/>
        <w:t>lichkeit zeitlich und örtlich gleichmäßig zu verteilen.</w:t>
      </w:r>
    </w:p>
    <w:p w:rsidR="00E76A04" w:rsidRPr="00E76A04" w:rsidRDefault="00E76A04" w:rsidP="00DB2788">
      <w:pPr>
        <w:jc w:val="both"/>
        <w:rPr>
          <w:lang w:val="de-DE"/>
        </w:rPr>
      </w:pPr>
    </w:p>
    <w:p w:rsidR="00E76A04" w:rsidRPr="00E76A04" w:rsidRDefault="00E76A04" w:rsidP="00DB2788">
      <w:pPr>
        <w:jc w:val="both"/>
        <w:rPr>
          <w:lang w:val="de-DE"/>
        </w:rPr>
      </w:pPr>
      <w:r w:rsidRPr="00E76A04">
        <w:rPr>
          <w:lang w:val="de-DE"/>
        </w:rPr>
        <w:t>2. Die Probenahme an den Stellen der Einhaltung genügt folgenden Anforderungen:</w:t>
      </w:r>
    </w:p>
    <w:p w:rsidR="00E76A04" w:rsidRPr="00E76A04" w:rsidRDefault="00E76A04" w:rsidP="00DB2788">
      <w:pPr>
        <w:ind w:left="708"/>
        <w:jc w:val="both"/>
        <w:rPr>
          <w:lang w:val="de-DE"/>
        </w:rPr>
      </w:pPr>
      <w:r w:rsidRPr="00E76A04">
        <w:rPr>
          <w:lang w:val="de-DE"/>
        </w:rPr>
        <w:t xml:space="preserve">a) Die Proben zur Kontrolle der Einhaltung von bestimmten chemischen Parametern (vor allem Kupfer, Blei und Nickel) werden ohne Vorlauf an den Verwendungsstellen entnommen. Zu einer zufälligen Tageszeit wird eine Probe von einem Liter entnommen (Zufallsstichprobe). </w:t>
      </w:r>
    </w:p>
    <w:p w:rsidR="00E76A04" w:rsidRPr="00E76A04" w:rsidRDefault="00E76A04" w:rsidP="00DB2788">
      <w:pPr>
        <w:ind w:left="708"/>
        <w:jc w:val="both"/>
        <w:rPr>
          <w:lang w:val="de-DE"/>
        </w:rPr>
      </w:pPr>
      <w:r w:rsidRPr="00E76A04">
        <w:rPr>
          <w:lang w:val="de-DE"/>
        </w:rPr>
        <w:t>b) Die Probe zur Kontrolle der Einhaltung von mikrobiologischen Parametern an der Stelle der Einhaltung wird nach EN ISO 19458, Zweck B, entnommen und gehandhabt.</w:t>
      </w:r>
    </w:p>
    <w:p w:rsidR="00E76A04" w:rsidRPr="00E76A04" w:rsidRDefault="00E76A04" w:rsidP="00DB2788">
      <w:pPr>
        <w:ind w:left="708"/>
        <w:jc w:val="both"/>
        <w:rPr>
          <w:lang w:val="de-DE"/>
        </w:rPr>
      </w:pPr>
    </w:p>
    <w:p w:rsidR="00E76A04" w:rsidRPr="00E76A04" w:rsidRDefault="00E76A04" w:rsidP="00DB2788">
      <w:pPr>
        <w:jc w:val="both"/>
        <w:rPr>
          <w:b/>
          <w:lang w:val="de-DE"/>
        </w:rPr>
      </w:pPr>
      <w:r w:rsidRPr="00E76A04">
        <w:rPr>
          <w:b/>
          <w:lang w:val="de-DE"/>
        </w:rPr>
        <w:t>V. Spezifikationen für die Parameteranalyse</w:t>
      </w:r>
    </w:p>
    <w:p w:rsidR="00E76A04" w:rsidRPr="00E76A04" w:rsidRDefault="00E76A04" w:rsidP="00DB2788">
      <w:pPr>
        <w:jc w:val="both"/>
        <w:rPr>
          <w:b/>
          <w:lang w:val="de-DE"/>
        </w:rPr>
      </w:pPr>
    </w:p>
    <w:p w:rsidR="00E76A04" w:rsidRPr="00E76A04" w:rsidRDefault="00E76A04" w:rsidP="00DB2788">
      <w:pPr>
        <w:jc w:val="both"/>
        <w:rPr>
          <w:lang w:val="de-DE"/>
        </w:rPr>
      </w:pPr>
      <w:r w:rsidRPr="00E76A04">
        <w:rPr>
          <w:lang w:val="de-DE"/>
        </w:rPr>
        <w:t>Die Betreiber von Lebensmitteleinrichtungen stellen sicher, dass die für die Zwecke der Überwachung und zum Nachweis der Einhaltung der Bestimmungen des vorliegenden Erlasses verwendeten Analyseverfahren im Einklang mit der Norm EN ISO/IEC 17025 oder anderen gleichwertigen international anerkannten Normen validiert und dokumentiert werden. Die Betreiber von Lebensmitteleinrichtungen tragen dafür Sorge, dass die Laboratorien oder deren Vertragspartner Qualitätsmanagementverfahren anwenden, die mit der Norm EN ISO/IEC 17025 oder anderen gleichwertigen international anerkannten Normen im Einklang stehen.</w:t>
      </w:r>
    </w:p>
    <w:p w:rsidR="00E76A04" w:rsidRPr="00E76A04" w:rsidRDefault="00E76A04" w:rsidP="00DB2788">
      <w:pPr>
        <w:jc w:val="both"/>
        <w:rPr>
          <w:lang w:val="de-DE"/>
        </w:rPr>
      </w:pPr>
    </w:p>
    <w:p w:rsidR="00E76A04" w:rsidRPr="00E76A04" w:rsidRDefault="00E76A04" w:rsidP="00DB2788">
      <w:pPr>
        <w:jc w:val="both"/>
        <w:rPr>
          <w:lang w:val="de-DE"/>
        </w:rPr>
      </w:pPr>
      <w:r w:rsidRPr="00E76A04">
        <w:rPr>
          <w:lang w:val="de-DE"/>
        </w:rPr>
        <w:t xml:space="preserve">Gibt es kein Analyseverfahren, das den Mindestverfahrenskennwerten gemäß Teil B genügt, so sorgen die Betreiber von Lebensmitteleinrichtungen dafür, dass die Überwachung mithilfe der besten verfügbaren Techniken erfolgt, die keine übermäßigen Kosten verursachen. </w:t>
      </w:r>
    </w:p>
    <w:p w:rsidR="00E76A04" w:rsidRPr="00B81948" w:rsidRDefault="00E76A04" w:rsidP="00DB2788">
      <w:pPr>
        <w:pStyle w:val="Paragraphedeliste"/>
        <w:spacing w:after="0" w:line="240" w:lineRule="auto"/>
        <w:ind w:left="0"/>
        <w:jc w:val="both"/>
        <w:rPr>
          <w:rFonts w:ascii="Times New Roman" w:hAnsi="Times New Roman"/>
          <w:sz w:val="24"/>
          <w:szCs w:val="24"/>
          <w:u w:val="single"/>
        </w:rPr>
      </w:pPr>
    </w:p>
    <w:p w:rsidR="00E76A04" w:rsidRDefault="00E76A04">
      <w:pPr>
        <w:rPr>
          <w:rFonts w:eastAsia="Calibri"/>
          <w:szCs w:val="22"/>
          <w:u w:val="single"/>
          <w:lang w:val="de-DE" w:eastAsia="en-US"/>
        </w:rPr>
      </w:pPr>
      <w:r>
        <w:rPr>
          <w:u w:val="single"/>
        </w:rPr>
        <w:br w:type="page"/>
      </w:r>
    </w:p>
    <w:p w:rsidR="00E76A04" w:rsidRDefault="00E76A04" w:rsidP="00DB2788">
      <w:pPr>
        <w:pStyle w:val="Paragraphedeliste"/>
        <w:spacing w:after="0" w:line="240" w:lineRule="auto"/>
        <w:ind w:left="0"/>
        <w:jc w:val="both"/>
        <w:rPr>
          <w:rFonts w:ascii="Times New Roman" w:hAnsi="Times New Roman"/>
          <w:sz w:val="24"/>
          <w:szCs w:val="24"/>
        </w:rPr>
      </w:pPr>
      <w:r>
        <w:rPr>
          <w:rFonts w:ascii="Times New Roman" w:hAnsi="Times New Roman"/>
          <w:sz w:val="24"/>
          <w:u w:val="single"/>
        </w:rPr>
        <w:t>Teil A</w:t>
      </w:r>
      <w:r>
        <w:rPr>
          <w:rFonts w:ascii="Times New Roman" w:hAnsi="Times New Roman"/>
          <w:sz w:val="24"/>
        </w:rPr>
        <w:t>: Mikrobiologische Parameter, für die Analyseverfahren spezifiziert sind</w:t>
      </w:r>
    </w:p>
    <w:p w:rsidR="00E76A04" w:rsidRPr="00700797" w:rsidRDefault="00E76A04" w:rsidP="00DB2788">
      <w:pPr>
        <w:pStyle w:val="Paragraphedeliste"/>
        <w:spacing w:after="0" w:line="240" w:lineRule="auto"/>
        <w:ind w:left="0"/>
        <w:jc w:val="both"/>
        <w:rPr>
          <w:rFonts w:ascii="Times New Roman" w:hAnsi="Times New Roman"/>
          <w:sz w:val="24"/>
          <w:szCs w:val="24"/>
        </w:rPr>
      </w:pPr>
    </w:p>
    <w:p w:rsidR="00E76A04" w:rsidRPr="00E76A04" w:rsidRDefault="00E76A04" w:rsidP="00DB2788">
      <w:pPr>
        <w:jc w:val="both"/>
        <w:rPr>
          <w:lang w:val="de-DE"/>
        </w:rPr>
      </w:pPr>
      <w:r w:rsidRPr="00E76A04">
        <w:rPr>
          <w:lang w:val="de-DE"/>
        </w:rPr>
        <w:t>Methoden für mikrobiologische Parameter:</w:t>
      </w:r>
    </w:p>
    <w:p w:rsidR="00E76A04" w:rsidRPr="00E76A04" w:rsidRDefault="00E76A04" w:rsidP="00DB2788">
      <w:pPr>
        <w:jc w:val="both"/>
        <w:rPr>
          <w:lang w:val="de-DE"/>
        </w:rPr>
      </w:pPr>
    </w:p>
    <w:p w:rsidR="00E76A04" w:rsidRPr="00E76A04" w:rsidRDefault="00E76A04" w:rsidP="00DB2788">
      <w:pPr>
        <w:jc w:val="center"/>
        <w:rPr>
          <w:color w:val="000000"/>
          <w:lang w:val="de-DE"/>
        </w:rPr>
      </w:pPr>
      <w:r w:rsidRPr="00E76A04">
        <w:rPr>
          <w:color w:val="000000"/>
          <w:lang w:val="de-DE"/>
        </w:rPr>
        <w:t>Tabelle 1: Methoden für mikrobiologische Parameter</w:t>
      </w:r>
    </w:p>
    <w:p w:rsidR="00E76A04" w:rsidRPr="00E76A04" w:rsidRDefault="00E76A04" w:rsidP="00DB2788">
      <w:pPr>
        <w:jc w:val="center"/>
        <w:rPr>
          <w:lang w:val="de-D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6"/>
        <w:gridCol w:w="2564"/>
      </w:tblGrid>
      <w:tr w:rsidR="00E76A04" w:rsidRPr="0016343F" w:rsidTr="00883C73">
        <w:tc>
          <w:tcPr>
            <w:tcW w:w="3585"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center"/>
              <w:rPr>
                <w:rFonts w:eastAsia="Calibri"/>
                <w:b/>
              </w:rPr>
            </w:pPr>
            <w:proofErr w:type="spellStart"/>
            <w:r>
              <w:rPr>
                <w:b/>
              </w:rPr>
              <w:t>Mikrobiologische</w:t>
            </w:r>
            <w:proofErr w:type="spellEnd"/>
            <w:r>
              <w:rPr>
                <w:b/>
              </w:rPr>
              <w:t xml:space="preserve"> </w:t>
            </w:r>
            <w:proofErr w:type="spellStart"/>
            <w:r>
              <w:rPr>
                <w:b/>
              </w:rPr>
              <w:t>Parameter</w:t>
            </w:r>
            <w:proofErr w:type="spellEnd"/>
          </w:p>
        </w:tc>
        <w:tc>
          <w:tcPr>
            <w:tcW w:w="1415" w:type="pct"/>
            <w:tcBorders>
              <w:top w:val="single" w:sz="4" w:space="0" w:color="auto"/>
              <w:left w:val="single" w:sz="4" w:space="0" w:color="auto"/>
              <w:bottom w:val="single" w:sz="4" w:space="0" w:color="auto"/>
              <w:right w:val="single" w:sz="4" w:space="0" w:color="auto"/>
            </w:tcBorders>
            <w:shd w:val="clear" w:color="auto" w:fill="auto"/>
            <w:hideMark/>
          </w:tcPr>
          <w:p w:rsidR="00E76A04" w:rsidRPr="0016343F" w:rsidRDefault="00E76A04" w:rsidP="00DB2788">
            <w:pPr>
              <w:jc w:val="center"/>
              <w:rPr>
                <w:rFonts w:eastAsia="Calibri"/>
                <w:b/>
                <w:highlight w:val="yellow"/>
              </w:rPr>
            </w:pPr>
            <w:r w:rsidRPr="000E1177">
              <w:rPr>
                <w:b/>
              </w:rPr>
              <w:t>Verfahren</w:t>
            </w:r>
          </w:p>
        </w:tc>
      </w:tr>
      <w:tr w:rsidR="00E76A04" w:rsidRPr="00E76A04" w:rsidTr="00883C73">
        <w:tc>
          <w:tcPr>
            <w:tcW w:w="3585"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xml:space="preserve">Escherichia coli (E. coli) und coliforme </w:t>
            </w:r>
            <w:proofErr w:type="spellStart"/>
            <w:r>
              <w:t>Bakterien</w:t>
            </w:r>
            <w:proofErr w:type="spellEnd"/>
          </w:p>
        </w:tc>
        <w:tc>
          <w:tcPr>
            <w:tcW w:w="1415" w:type="pct"/>
            <w:tcBorders>
              <w:top w:val="single" w:sz="4" w:space="0" w:color="auto"/>
              <w:left w:val="single" w:sz="4" w:space="0" w:color="auto"/>
              <w:bottom w:val="single" w:sz="4" w:space="0" w:color="auto"/>
              <w:right w:val="single" w:sz="4" w:space="0" w:color="auto"/>
            </w:tcBorders>
            <w:shd w:val="clear" w:color="auto" w:fill="auto"/>
            <w:hideMark/>
          </w:tcPr>
          <w:p w:rsidR="00E76A04" w:rsidRPr="00E76A04" w:rsidRDefault="00E76A04" w:rsidP="00DB2788">
            <w:pPr>
              <w:rPr>
                <w:rFonts w:eastAsia="Calibri"/>
                <w:lang w:val="de-DE"/>
              </w:rPr>
            </w:pPr>
            <w:r w:rsidRPr="00E76A04">
              <w:rPr>
                <w:lang w:val="de-DE"/>
              </w:rPr>
              <w:t xml:space="preserve">EN ISO 9308-1 oder </w:t>
            </w:r>
            <w:r w:rsidRPr="00E76A04">
              <w:rPr>
                <w:lang w:val="de-DE"/>
              </w:rPr>
              <w:br/>
              <w:t>EN ISO 9308-2</w:t>
            </w:r>
          </w:p>
        </w:tc>
      </w:tr>
      <w:tr w:rsidR="00E76A04" w:rsidRPr="00700797" w:rsidTr="00883C73">
        <w:tc>
          <w:tcPr>
            <w:tcW w:w="3585"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proofErr w:type="spellStart"/>
            <w:r>
              <w:t>Enterokokken</w:t>
            </w:r>
            <w:proofErr w:type="spellEnd"/>
            <w:r>
              <w:t xml:space="preserve"> </w:t>
            </w:r>
          </w:p>
        </w:tc>
        <w:tc>
          <w:tcPr>
            <w:tcW w:w="1415"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EN ISO 7899-2</w:t>
            </w:r>
          </w:p>
        </w:tc>
      </w:tr>
      <w:tr w:rsidR="00E76A04" w:rsidRPr="00700797" w:rsidTr="00883C73">
        <w:tc>
          <w:tcPr>
            <w:tcW w:w="3585"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xml:space="preserve">Pseudomonas </w:t>
            </w:r>
            <w:proofErr w:type="spellStart"/>
            <w:r>
              <w:t>aeruginosa</w:t>
            </w:r>
            <w:proofErr w:type="spellEnd"/>
          </w:p>
        </w:tc>
        <w:tc>
          <w:tcPr>
            <w:tcW w:w="1415"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EN ISO 16266</w:t>
            </w:r>
          </w:p>
        </w:tc>
      </w:tr>
      <w:tr w:rsidR="00E76A04" w:rsidRPr="00700797" w:rsidTr="00883C73">
        <w:tc>
          <w:tcPr>
            <w:tcW w:w="3585" w:type="pct"/>
            <w:tcBorders>
              <w:top w:val="single" w:sz="4" w:space="0" w:color="auto"/>
              <w:left w:val="single" w:sz="4" w:space="0" w:color="auto"/>
              <w:bottom w:val="single" w:sz="4" w:space="0" w:color="auto"/>
              <w:right w:val="single" w:sz="4" w:space="0" w:color="auto"/>
            </w:tcBorders>
            <w:shd w:val="clear" w:color="auto" w:fill="auto"/>
            <w:hideMark/>
          </w:tcPr>
          <w:p w:rsidR="00E76A04" w:rsidRPr="00E76A04" w:rsidRDefault="00E76A04" w:rsidP="00DB2788">
            <w:pPr>
              <w:jc w:val="both"/>
              <w:rPr>
                <w:rFonts w:eastAsia="Calibri"/>
                <w:lang w:val="de-DE"/>
              </w:rPr>
            </w:pPr>
            <w:r w:rsidRPr="00E76A04">
              <w:rPr>
                <w:lang w:val="de-DE"/>
              </w:rPr>
              <w:t xml:space="preserve">Bestimmung kultivierbarer Mikroorganismen - </w:t>
            </w:r>
          </w:p>
          <w:p w:rsidR="00E76A04" w:rsidRPr="00E76A04" w:rsidRDefault="00E76A04" w:rsidP="00DB2788">
            <w:pPr>
              <w:jc w:val="both"/>
              <w:rPr>
                <w:rFonts w:eastAsia="Calibri"/>
                <w:lang w:val="de-DE"/>
              </w:rPr>
            </w:pPr>
            <w:r w:rsidRPr="00E76A04">
              <w:rPr>
                <w:lang w:val="de-DE"/>
              </w:rPr>
              <w:t>Koloniezahl bei 22 °C</w:t>
            </w:r>
          </w:p>
        </w:tc>
        <w:tc>
          <w:tcPr>
            <w:tcW w:w="1415"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EN ISO 6222</w:t>
            </w:r>
          </w:p>
        </w:tc>
      </w:tr>
      <w:tr w:rsidR="00E76A04" w:rsidRPr="00700797" w:rsidTr="00883C73">
        <w:tc>
          <w:tcPr>
            <w:tcW w:w="3585" w:type="pct"/>
            <w:tcBorders>
              <w:top w:val="single" w:sz="4" w:space="0" w:color="auto"/>
              <w:left w:val="single" w:sz="4" w:space="0" w:color="auto"/>
              <w:bottom w:val="single" w:sz="4" w:space="0" w:color="auto"/>
              <w:right w:val="single" w:sz="4" w:space="0" w:color="auto"/>
            </w:tcBorders>
            <w:shd w:val="clear" w:color="auto" w:fill="auto"/>
            <w:hideMark/>
          </w:tcPr>
          <w:p w:rsidR="00E76A04" w:rsidRPr="00E76A04" w:rsidRDefault="00E76A04" w:rsidP="00DB2788">
            <w:pPr>
              <w:jc w:val="both"/>
              <w:rPr>
                <w:rFonts w:eastAsia="Calibri"/>
                <w:lang w:val="de-DE"/>
              </w:rPr>
            </w:pPr>
            <w:r w:rsidRPr="00E76A04">
              <w:rPr>
                <w:lang w:val="de-DE"/>
              </w:rPr>
              <w:t xml:space="preserve">Bestimmung kultivierbarer Mikroorganismen - </w:t>
            </w:r>
          </w:p>
          <w:p w:rsidR="00E76A04" w:rsidRPr="00E76A04" w:rsidRDefault="00E76A04" w:rsidP="00DB2788">
            <w:pPr>
              <w:jc w:val="both"/>
              <w:rPr>
                <w:rFonts w:eastAsia="Calibri"/>
                <w:lang w:val="de-DE"/>
              </w:rPr>
            </w:pPr>
            <w:r w:rsidRPr="00E76A04">
              <w:rPr>
                <w:lang w:val="de-DE"/>
              </w:rPr>
              <w:t>Koloniezahl bei 36 °C</w:t>
            </w:r>
          </w:p>
        </w:tc>
        <w:tc>
          <w:tcPr>
            <w:tcW w:w="1415"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EN ISO 6222</w:t>
            </w:r>
          </w:p>
        </w:tc>
      </w:tr>
      <w:tr w:rsidR="00E76A04" w:rsidRPr="00700797" w:rsidTr="00883C73">
        <w:tc>
          <w:tcPr>
            <w:tcW w:w="3585"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xml:space="preserve">Clostridium perfringens, einschließlich </w:t>
            </w:r>
            <w:proofErr w:type="spellStart"/>
            <w:r>
              <w:t>Sporen</w:t>
            </w:r>
            <w:proofErr w:type="spellEnd"/>
          </w:p>
        </w:tc>
        <w:tc>
          <w:tcPr>
            <w:tcW w:w="1415"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EN ISO 14189</w:t>
            </w:r>
          </w:p>
        </w:tc>
      </w:tr>
    </w:tbl>
    <w:p w:rsidR="00E76A04" w:rsidRPr="00700797" w:rsidRDefault="00E76A04" w:rsidP="00DB2788">
      <w:pPr>
        <w:jc w:val="both"/>
      </w:pPr>
    </w:p>
    <w:p w:rsidR="00E76A04" w:rsidRPr="00700797" w:rsidRDefault="00E76A04" w:rsidP="00DB2788">
      <w:pPr>
        <w:pStyle w:val="Paragraphedeliste"/>
        <w:spacing w:after="0" w:line="240" w:lineRule="auto"/>
        <w:ind w:left="0"/>
        <w:jc w:val="both"/>
        <w:rPr>
          <w:rFonts w:ascii="Times New Roman" w:hAnsi="Times New Roman"/>
          <w:sz w:val="24"/>
          <w:szCs w:val="24"/>
        </w:rPr>
      </w:pPr>
      <w:r>
        <w:rPr>
          <w:rFonts w:ascii="Times New Roman" w:hAnsi="Times New Roman"/>
          <w:sz w:val="24"/>
        </w:rPr>
        <w:t>Nach Erlaubnis der zuständigen Behörde können andere Verfahren angewandt werden, sofern nachgewiesen werden kann, dass die erzielten Ergebnisse mindestens ebenso zuverlässig sind wie die Ergebnisse, die anhand der in Tabelle 1 aufgeführten Verfahren ermittelt wurden.</w:t>
      </w:r>
    </w:p>
    <w:p w:rsidR="00E76A04" w:rsidRPr="00700797" w:rsidRDefault="00E76A04" w:rsidP="00DB2788">
      <w:pPr>
        <w:pStyle w:val="Paragraphedeliste"/>
        <w:spacing w:after="0" w:line="240" w:lineRule="auto"/>
        <w:ind w:left="0"/>
        <w:jc w:val="both"/>
        <w:rPr>
          <w:rFonts w:ascii="Times New Roman" w:hAnsi="Times New Roman"/>
          <w:sz w:val="24"/>
          <w:szCs w:val="24"/>
          <w:u w:val="single"/>
        </w:rPr>
      </w:pPr>
    </w:p>
    <w:p w:rsidR="00E76A04" w:rsidRPr="00700797" w:rsidRDefault="00E76A04" w:rsidP="00DB2788">
      <w:pPr>
        <w:pStyle w:val="Paragraphedeliste"/>
        <w:spacing w:after="0" w:line="240" w:lineRule="auto"/>
        <w:ind w:left="0"/>
        <w:jc w:val="both"/>
        <w:rPr>
          <w:rFonts w:ascii="Times New Roman" w:hAnsi="Times New Roman"/>
          <w:sz w:val="24"/>
          <w:szCs w:val="24"/>
        </w:rPr>
      </w:pPr>
      <w:r>
        <w:rPr>
          <w:rFonts w:ascii="Times New Roman" w:hAnsi="Times New Roman"/>
          <w:sz w:val="24"/>
          <w:u w:val="single"/>
        </w:rPr>
        <w:t>Teil B</w:t>
      </w:r>
      <w:r>
        <w:rPr>
          <w:rFonts w:ascii="Times New Roman" w:hAnsi="Times New Roman"/>
          <w:sz w:val="24"/>
        </w:rPr>
        <w:t>: Chemische Parameter und Indikatorparameter, für die Verfahrenskennwerte spezifiziert sind</w:t>
      </w:r>
    </w:p>
    <w:p w:rsidR="00E76A04" w:rsidRPr="00700797" w:rsidRDefault="00E76A04" w:rsidP="00DB2788">
      <w:pPr>
        <w:pStyle w:val="Paragraphedeliste"/>
        <w:spacing w:after="0" w:line="240" w:lineRule="auto"/>
        <w:ind w:left="360"/>
        <w:jc w:val="both"/>
        <w:rPr>
          <w:rFonts w:ascii="Times New Roman" w:hAnsi="Times New Roman"/>
          <w:sz w:val="24"/>
          <w:szCs w:val="24"/>
        </w:rPr>
      </w:pPr>
    </w:p>
    <w:p w:rsidR="00E76A04" w:rsidRDefault="00E76A04" w:rsidP="00DB2788">
      <w:pPr>
        <w:pStyle w:val="Paragraphedeliste"/>
        <w:spacing w:after="0" w:line="240" w:lineRule="auto"/>
        <w:ind w:left="0"/>
        <w:jc w:val="both"/>
        <w:rPr>
          <w:rFonts w:ascii="Times New Roman" w:hAnsi="Times New Roman"/>
          <w:sz w:val="24"/>
          <w:szCs w:val="24"/>
        </w:rPr>
      </w:pPr>
      <w:r>
        <w:rPr>
          <w:rFonts w:ascii="Times New Roman" w:hAnsi="Times New Roman"/>
          <w:sz w:val="24"/>
        </w:rPr>
        <w:t>Chemische Parameter und Indikatorparameter:</w:t>
      </w:r>
    </w:p>
    <w:p w:rsidR="00E76A04" w:rsidRPr="00700797" w:rsidRDefault="00E76A04" w:rsidP="00DB2788">
      <w:pPr>
        <w:pStyle w:val="Paragraphedeliste"/>
        <w:spacing w:after="0" w:line="240" w:lineRule="auto"/>
        <w:ind w:left="0"/>
        <w:jc w:val="both"/>
        <w:rPr>
          <w:rFonts w:ascii="Times New Roman" w:hAnsi="Times New Roman"/>
          <w:sz w:val="24"/>
          <w:szCs w:val="24"/>
        </w:rPr>
      </w:pPr>
    </w:p>
    <w:p w:rsidR="00E76A04" w:rsidRPr="00E76A04" w:rsidRDefault="00E76A04" w:rsidP="00DB2788">
      <w:pPr>
        <w:jc w:val="both"/>
        <w:rPr>
          <w:lang w:val="de-DE"/>
        </w:rPr>
      </w:pPr>
      <w:r w:rsidRPr="00E76A04">
        <w:rPr>
          <w:lang w:val="de-DE"/>
        </w:rPr>
        <w:t>Für die Parameter in Tabelle 2 sollten die spezifizierten Verfahrenskennwerte gewährleisten, dass das verwendete Analyseverfahren mindestens geeignet ist, dem Parameterwert ent</w:t>
      </w:r>
      <w:r w:rsidRPr="00E76A04">
        <w:rPr>
          <w:lang w:val="de-DE"/>
        </w:rPr>
        <w:softHyphen/>
        <w:t>sprechende Konzentrationen mit der Bestimmungsgrenze von 30 Prozent oder weniger des betreffenden Parameterwerts und der in Tabelle 2 spezifizierten Messunsicherheit zu messen. Das Ergebnis ist mit mindestens derselben Anzahl signifikanter Stellen anzugeben wie bei dem jeweiligen Parameterwert in den Nummern II und III der vorliegenden Anlage.</w:t>
      </w:r>
    </w:p>
    <w:p w:rsidR="00E76A04" w:rsidRPr="00E76A04" w:rsidRDefault="00E76A04" w:rsidP="00DB2788">
      <w:pPr>
        <w:jc w:val="both"/>
        <w:rPr>
          <w:lang w:val="de-DE"/>
        </w:rPr>
      </w:pPr>
    </w:p>
    <w:p w:rsidR="00E76A04" w:rsidRPr="00E76A04" w:rsidRDefault="00E76A04" w:rsidP="00DB2788">
      <w:pPr>
        <w:jc w:val="both"/>
        <w:rPr>
          <w:lang w:val="de-DE"/>
        </w:rPr>
      </w:pPr>
      <w:r w:rsidRPr="00E76A04">
        <w:rPr>
          <w:lang w:val="de-DE"/>
        </w:rPr>
        <w:t>Bis zum 31. Dezember 2019 können die Betreiber von Lebensmitteleinrichtungen die in Tabelle 3 spezifizierten Verfahrenskennwerte "Richtigkeit", "Präzision" und "Nachweis</w:t>
      </w:r>
      <w:r w:rsidRPr="00E76A04">
        <w:rPr>
          <w:lang w:val="de-DE"/>
        </w:rPr>
        <w:softHyphen/>
        <w:t>grenze" als Alternative zu "Bestimmungsgrenze" und "Messunsicherheit", wie in Absatz 1 bzw. in Tabelle 2 spezifiziert, verwenden. Die in Tabelle 2 spezifizierte Messunsicherheit ist nicht als zusätzliche Toleranz für die Parameterwerte gemäß der Anlage zu verwenden.</w:t>
      </w:r>
    </w:p>
    <w:p w:rsidR="00E76A04" w:rsidRPr="00E76A04" w:rsidRDefault="00E76A04" w:rsidP="00DB2788">
      <w:pPr>
        <w:jc w:val="both"/>
        <w:rPr>
          <w:lang w:val="de-DE"/>
        </w:rPr>
      </w:pPr>
    </w:p>
    <w:p w:rsidR="00E76A04" w:rsidRDefault="00E76A04" w:rsidP="003662F0">
      <w:pPr>
        <w:pStyle w:val="Lgende"/>
        <w:spacing w:after="0"/>
        <w:jc w:val="center"/>
        <w:rPr>
          <w:rFonts w:ascii="Times New Roman" w:hAnsi="Times New Roman" w:cs="Times New Roman"/>
          <w:b w:val="0"/>
          <w:bCs w:val="0"/>
          <w:iCs/>
          <w:color w:val="000000"/>
          <w:sz w:val="24"/>
          <w:szCs w:val="24"/>
        </w:rPr>
      </w:pPr>
      <w:r>
        <w:rPr>
          <w:rFonts w:ascii="Times New Roman" w:hAnsi="Times New Roman"/>
          <w:i/>
          <w:color w:val="000000"/>
          <w:sz w:val="24"/>
        </w:rPr>
        <w:t>Tabelle 2: Mindestverfahrenskennwert "Messunsicherheit"</w:t>
      </w:r>
    </w:p>
    <w:p w:rsidR="00E76A04" w:rsidRPr="00DB2788" w:rsidRDefault="00E76A04" w:rsidP="003662F0"/>
    <w:tbl>
      <w:tblPr>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7"/>
        <w:gridCol w:w="4114"/>
        <w:gridCol w:w="1736"/>
      </w:tblGrid>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center"/>
              <w:rPr>
                <w:rFonts w:eastAsia="Calibri"/>
                <w:bCs/>
              </w:rPr>
            </w:pPr>
            <w:r>
              <w:t>Parameter</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E76A04" w:rsidRDefault="00E76A04" w:rsidP="00DB2788">
            <w:pPr>
              <w:jc w:val="center"/>
              <w:rPr>
                <w:rFonts w:eastAsia="Calibri"/>
                <w:bCs/>
                <w:lang w:val="de-DE"/>
              </w:rPr>
            </w:pPr>
            <w:r w:rsidRPr="00E76A04">
              <w:rPr>
                <w:lang w:val="de-DE"/>
              </w:rPr>
              <w:t>Messunsicherheit (siehe Anm. 1)</w:t>
            </w:r>
          </w:p>
          <w:p w:rsidR="00E76A04" w:rsidRPr="00E76A04" w:rsidRDefault="00E76A04" w:rsidP="00DB2788">
            <w:pPr>
              <w:jc w:val="center"/>
              <w:rPr>
                <w:rFonts w:eastAsia="Calibri"/>
                <w:bCs/>
                <w:lang w:val="de-DE"/>
              </w:rPr>
            </w:pPr>
            <w:r w:rsidRPr="00E76A04">
              <w:rPr>
                <w:lang w:val="de-DE"/>
              </w:rPr>
              <w:t>% des Parameterwerts (ausgenommen pH-Wert)</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center"/>
              <w:rPr>
                <w:rFonts w:eastAsia="Calibri"/>
                <w:bCs/>
              </w:rPr>
            </w:pPr>
            <w:proofErr w:type="spellStart"/>
            <w:r>
              <w:t>Anmerkungen</w:t>
            </w:r>
            <w:proofErr w:type="spellEnd"/>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Aluminium</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Ammonium</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40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Antimon</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40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Arsen</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30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proofErr w:type="spellStart"/>
            <w:r>
              <w:t>Benzo</w:t>
            </w:r>
            <w:proofErr w:type="spellEnd"/>
            <w:r>
              <w:t>(a)</w:t>
            </w:r>
            <w:proofErr w:type="spellStart"/>
            <w:r>
              <w:t>pyren</w:t>
            </w:r>
            <w:proofErr w:type="spellEnd"/>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50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Siehe Anm. 5</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Benzol</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40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Bor</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Bromat</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40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Cadmium</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Chlorid</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15</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Chrom</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30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Leitfähigkeit</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Kupfer</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Cyanid</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30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Siehe Anm. 6</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1,2-Dichlorethan</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40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Fluorid</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E76A04" w:rsidRDefault="00E76A04" w:rsidP="00DB2788">
            <w:pPr>
              <w:jc w:val="both"/>
              <w:rPr>
                <w:rFonts w:eastAsia="Calibri"/>
                <w:lang w:val="de-DE"/>
              </w:rPr>
            </w:pPr>
            <w:r w:rsidRPr="00E76A04">
              <w:rPr>
                <w:lang w:val="de-DE"/>
              </w:rPr>
              <w:t>Wasserstoffionen-Konzentration (ausgedrückt in pH-Einheiten)</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0,2</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Siehe Anm. 7</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Eisen</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30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Blei</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Mangan</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30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Quecksilber</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30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Nickel</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Nitrat</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15</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Nitrit</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Oxidierbarkeit</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50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Siehe Anm. 8</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Pestizide</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30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Siehe Anm. 9</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rPr>
                <w:rFonts w:eastAsia="Calibri"/>
              </w:rPr>
            </w:pPr>
            <w:r>
              <w:t>Polyzyklische aromatische Kohlenwasserstoffe</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50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Siehe Anm. 10</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Selen</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40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Natrium</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15</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Sulfat</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15</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proofErr w:type="spellStart"/>
            <w:r>
              <w:t>Tetrachlorethen</w:t>
            </w:r>
            <w:proofErr w:type="spellEnd"/>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30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Siehe Anm. 11</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proofErr w:type="spellStart"/>
            <w:r>
              <w:t>Trichlorethen</w:t>
            </w:r>
            <w:proofErr w:type="spellEnd"/>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40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Siehe Anm. 11</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proofErr w:type="spellStart"/>
            <w:r>
              <w:t>Trihalomethane</w:t>
            </w:r>
            <w:proofErr w:type="spellEnd"/>
            <w:r>
              <w:t xml:space="preserve"> - </w:t>
            </w:r>
            <w:proofErr w:type="spellStart"/>
            <w:r>
              <w:t>insgesamt</w:t>
            </w:r>
            <w:proofErr w:type="spellEnd"/>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40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Siehe Anm. 10</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Gesamter organischer Kohlen</w:t>
            </w:r>
            <w:r>
              <w:softHyphen/>
              <w:t>stoff (TOC)</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30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Siehe Anm. 12</w:t>
            </w:r>
          </w:p>
        </w:tc>
      </w:tr>
      <w:tr w:rsidR="00E76A04" w:rsidRPr="00700797" w:rsidTr="0016343F">
        <w:tc>
          <w:tcPr>
            <w:tcW w:w="18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Trübung</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30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Siehe Anm. 13</w:t>
            </w:r>
          </w:p>
        </w:tc>
      </w:tr>
      <w:tr w:rsidR="00E76A04" w:rsidRPr="00E76A04" w:rsidTr="0016343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E76A04" w:rsidRPr="00E76A04" w:rsidRDefault="00E76A04" w:rsidP="00DB2788">
            <w:pPr>
              <w:jc w:val="both"/>
              <w:rPr>
                <w:rFonts w:eastAsia="Calibri"/>
                <w:lang w:val="de-DE"/>
              </w:rPr>
            </w:pPr>
            <w:r w:rsidRPr="00E76A04">
              <w:rPr>
                <w:lang w:val="de-DE"/>
              </w:rPr>
              <w:t xml:space="preserve">Acrylamid, </w:t>
            </w:r>
            <w:proofErr w:type="spellStart"/>
            <w:r w:rsidRPr="00E76A04">
              <w:rPr>
                <w:lang w:val="de-DE"/>
              </w:rPr>
              <w:t>Epichlorhydrin</w:t>
            </w:r>
            <w:proofErr w:type="spellEnd"/>
            <w:r w:rsidRPr="00E76A04">
              <w:rPr>
                <w:lang w:val="de-DE"/>
              </w:rPr>
              <w:t xml:space="preserve"> und Vinylchlorid sind anhand der Produktspezifikation zu kontrollieren.</w:t>
            </w:r>
          </w:p>
        </w:tc>
      </w:tr>
    </w:tbl>
    <w:p w:rsidR="00E76A04" w:rsidRPr="00E76A04" w:rsidRDefault="00E76A04" w:rsidP="00DB2788">
      <w:pPr>
        <w:jc w:val="both"/>
        <w:rPr>
          <w:lang w:val="de-DE"/>
        </w:rPr>
      </w:pPr>
    </w:p>
    <w:p w:rsidR="00E76A04" w:rsidRPr="003662F0" w:rsidRDefault="00E76A04" w:rsidP="003662F0">
      <w:pPr>
        <w:pStyle w:val="Lgende"/>
        <w:spacing w:after="0"/>
        <w:jc w:val="center"/>
        <w:rPr>
          <w:rFonts w:ascii="Times New Roman" w:hAnsi="Times New Roman" w:cs="Times New Roman"/>
          <w:b w:val="0"/>
          <w:bCs w:val="0"/>
          <w:iCs/>
          <w:color w:val="000000"/>
          <w:sz w:val="24"/>
          <w:szCs w:val="24"/>
        </w:rPr>
      </w:pPr>
      <w:r>
        <w:rPr>
          <w:rFonts w:ascii="Times New Roman" w:hAnsi="Times New Roman"/>
          <w:i/>
          <w:color w:val="000000"/>
          <w:sz w:val="24"/>
        </w:rPr>
        <w:t>Tabelle 3: Mindestverfahrenskennwerte "Richtigkeit", "Präzision" und "Nachweisgrenze"</w:t>
      </w:r>
    </w:p>
    <w:p w:rsidR="00E76A04" w:rsidRPr="00E76A04" w:rsidRDefault="00E76A04" w:rsidP="003662F0">
      <w:pPr>
        <w:rPr>
          <w:lang w:val="de-DE"/>
        </w:rPr>
      </w:pPr>
    </w:p>
    <w:tbl>
      <w:tblPr>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1"/>
        <w:gridCol w:w="1709"/>
        <w:gridCol w:w="1709"/>
        <w:gridCol w:w="1802"/>
        <w:gridCol w:w="1736"/>
      </w:tblGrid>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center"/>
              <w:rPr>
                <w:rFonts w:eastAsia="Calibri"/>
                <w:bCs/>
              </w:rPr>
            </w:pPr>
            <w:proofErr w:type="spellStart"/>
            <w:r>
              <w:t>Parameter</w:t>
            </w:r>
            <w:proofErr w:type="spellEnd"/>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center"/>
              <w:rPr>
                <w:rFonts w:eastAsia="Calibri"/>
                <w:bCs/>
              </w:rPr>
            </w:pPr>
            <w:r>
              <w:t>Richtigkeit</w:t>
            </w:r>
          </w:p>
          <w:p w:rsidR="00E76A04" w:rsidRPr="00700797" w:rsidRDefault="00E76A04" w:rsidP="00DB2788">
            <w:pPr>
              <w:jc w:val="center"/>
              <w:rPr>
                <w:rFonts w:eastAsia="Calibri"/>
                <w:bCs/>
              </w:rPr>
            </w:pPr>
            <w:r>
              <w:t>(siehe Anm. 2)</w:t>
            </w:r>
          </w:p>
          <w:p w:rsidR="00E76A04" w:rsidRPr="00E76A04" w:rsidRDefault="00E76A04" w:rsidP="00DB2788">
            <w:pPr>
              <w:jc w:val="center"/>
              <w:rPr>
                <w:rFonts w:eastAsia="Calibri"/>
                <w:bCs/>
                <w:lang w:val="de-DE"/>
              </w:rPr>
            </w:pPr>
            <w:r w:rsidRPr="00E76A04">
              <w:rPr>
                <w:lang w:val="de-DE"/>
              </w:rPr>
              <w:t>% des Parameterwerts (ausgenommen pH-Wert)</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E76A04" w:rsidRDefault="00E76A04" w:rsidP="00DB2788">
            <w:pPr>
              <w:jc w:val="center"/>
              <w:rPr>
                <w:rFonts w:eastAsia="Calibri"/>
                <w:bCs/>
                <w:lang w:val="de-DE"/>
              </w:rPr>
            </w:pPr>
            <w:r w:rsidRPr="00E76A04">
              <w:rPr>
                <w:lang w:val="de-DE"/>
              </w:rPr>
              <w:t>Präzision</w:t>
            </w:r>
          </w:p>
          <w:p w:rsidR="00E76A04" w:rsidRPr="00E76A04" w:rsidRDefault="00E76A04" w:rsidP="00DB2788">
            <w:pPr>
              <w:jc w:val="center"/>
              <w:rPr>
                <w:rFonts w:eastAsia="Calibri"/>
                <w:bCs/>
                <w:lang w:val="de-DE"/>
              </w:rPr>
            </w:pPr>
            <w:r w:rsidRPr="00E76A04">
              <w:rPr>
                <w:lang w:val="de-DE"/>
              </w:rPr>
              <w:t>(siehe Anm. 3)</w:t>
            </w:r>
          </w:p>
          <w:p w:rsidR="00E76A04" w:rsidRPr="00E76A04" w:rsidRDefault="00E76A04" w:rsidP="00DB2788">
            <w:pPr>
              <w:jc w:val="center"/>
              <w:rPr>
                <w:rFonts w:eastAsia="Calibri"/>
                <w:bCs/>
                <w:lang w:val="de-DE"/>
              </w:rPr>
            </w:pPr>
            <w:r w:rsidRPr="00E76A04">
              <w:rPr>
                <w:lang w:val="de-DE"/>
              </w:rPr>
              <w:t>% des Parameterwerts (ausgenommen pH-Wert)</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E76A04" w:rsidRDefault="00E76A04" w:rsidP="00DB2788">
            <w:pPr>
              <w:jc w:val="center"/>
              <w:rPr>
                <w:rFonts w:eastAsia="Calibri"/>
                <w:bCs/>
                <w:lang w:val="de-DE"/>
              </w:rPr>
            </w:pPr>
            <w:r w:rsidRPr="00E76A04">
              <w:rPr>
                <w:lang w:val="de-DE"/>
              </w:rPr>
              <w:t>Nachweisgrenze</w:t>
            </w:r>
          </w:p>
          <w:p w:rsidR="00E76A04" w:rsidRPr="00E76A04" w:rsidRDefault="00E76A04" w:rsidP="00DB2788">
            <w:pPr>
              <w:jc w:val="center"/>
              <w:rPr>
                <w:rFonts w:eastAsia="Calibri"/>
                <w:bCs/>
                <w:lang w:val="de-DE"/>
              </w:rPr>
            </w:pPr>
            <w:r w:rsidRPr="00E76A04">
              <w:rPr>
                <w:lang w:val="de-DE"/>
              </w:rPr>
              <w:t>(siehe Anm. 4)</w:t>
            </w:r>
          </w:p>
          <w:p w:rsidR="00E76A04" w:rsidRPr="00E76A04" w:rsidRDefault="00E76A04" w:rsidP="00DB2788">
            <w:pPr>
              <w:jc w:val="center"/>
              <w:rPr>
                <w:rFonts w:eastAsia="Calibri"/>
                <w:bCs/>
                <w:lang w:val="de-DE"/>
              </w:rPr>
            </w:pPr>
            <w:r w:rsidRPr="00E76A04">
              <w:rPr>
                <w:lang w:val="de-DE"/>
              </w:rPr>
              <w:t>% des Parameterwerts (ausgenommen pH-Wert)</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center"/>
              <w:rPr>
                <w:rFonts w:eastAsia="Calibri"/>
                <w:bCs/>
              </w:rPr>
            </w:pPr>
            <w:proofErr w:type="spellStart"/>
            <w:r>
              <w:t>Anmerkungen</w:t>
            </w:r>
            <w:proofErr w:type="spellEnd"/>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Aluminium</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Ammonium</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Antimon</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Arsen</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proofErr w:type="spellStart"/>
            <w:r>
              <w:t>Benzo</w:t>
            </w:r>
            <w:proofErr w:type="spellEnd"/>
            <w:r>
              <w:t>(a)</w:t>
            </w:r>
            <w:proofErr w:type="spellStart"/>
            <w:r>
              <w:t>pyren</w:t>
            </w:r>
            <w:proofErr w:type="spellEnd"/>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Benzol</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Bor</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Bromat</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Cadmium</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Chlorid</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Chrom</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Leitfähigkeit</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Kupfer</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Cyanid</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Siehe Anm. 6</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1,2-Dichlorethan</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Fluorid</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E76A04" w:rsidRDefault="00E76A04" w:rsidP="00DB2788">
            <w:pPr>
              <w:jc w:val="both"/>
              <w:rPr>
                <w:rFonts w:eastAsia="Calibri"/>
                <w:lang w:val="de-DE"/>
              </w:rPr>
            </w:pPr>
            <w:r w:rsidRPr="00E76A04">
              <w:rPr>
                <w:lang w:val="de-DE"/>
              </w:rPr>
              <w:t>Wasserstoffionen-Konzentration (ausgedrückt in pH-Einheiten)</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0,2</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0,2</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Siehe Anm. 7</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Eisen</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Blei</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Mangan</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Quecksilber</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20</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Nickel</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Nitrat</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Nitrit</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Oxidierbarkeit</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Siehe Anm. 8</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Pestizide</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Siehe Anm. 9</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Polyzyklische aromatische Kohlenwasserstoffe</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Siehe Anm. 10</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Selen</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Natrium</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Sulfat</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proofErr w:type="spellStart"/>
            <w:r>
              <w:t>Tetrachlorethen</w:t>
            </w:r>
            <w:proofErr w:type="spellEnd"/>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Siehe Anm. 11</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proofErr w:type="spellStart"/>
            <w:r>
              <w:t>Trichlorethen</w:t>
            </w:r>
            <w:proofErr w:type="spellEnd"/>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Siehe Anm. 11</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proofErr w:type="spellStart"/>
            <w:r>
              <w:t>Trihalomethane</w:t>
            </w:r>
            <w:proofErr w:type="spellEnd"/>
            <w:r>
              <w:t xml:space="preserve"> - </w:t>
            </w:r>
            <w:proofErr w:type="spellStart"/>
            <w:r>
              <w:t>insgesamt</w:t>
            </w:r>
            <w:proofErr w:type="spellEnd"/>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10</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Siehe Anm. 10</w:t>
            </w:r>
          </w:p>
        </w:tc>
      </w:tr>
      <w:tr w:rsidR="00E76A04" w:rsidRPr="00700797" w:rsidTr="0016343F">
        <w:tc>
          <w:tcPr>
            <w:tcW w:w="122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Trübung</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2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78"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25</w:t>
            </w:r>
          </w:p>
        </w:tc>
        <w:tc>
          <w:tcPr>
            <w:tcW w:w="943" w:type="pct"/>
            <w:tcBorders>
              <w:top w:val="single" w:sz="4" w:space="0" w:color="auto"/>
              <w:left w:val="single" w:sz="4" w:space="0" w:color="auto"/>
              <w:bottom w:val="single" w:sz="4" w:space="0" w:color="auto"/>
              <w:right w:val="single" w:sz="4" w:space="0" w:color="auto"/>
            </w:tcBorders>
            <w:shd w:val="clear" w:color="auto" w:fill="auto"/>
            <w:hideMark/>
          </w:tcPr>
          <w:p w:rsidR="00E76A04" w:rsidRPr="00700797" w:rsidRDefault="00E76A04" w:rsidP="00DB2788">
            <w:pPr>
              <w:jc w:val="both"/>
              <w:rPr>
                <w:rFonts w:eastAsia="Calibri"/>
              </w:rPr>
            </w:pPr>
            <w:r>
              <w:t> </w:t>
            </w:r>
          </w:p>
        </w:tc>
      </w:tr>
      <w:tr w:rsidR="00E76A04" w:rsidRPr="00E76A04" w:rsidTr="0016343F">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rsidR="00E76A04" w:rsidRPr="00E76A04" w:rsidRDefault="00E76A04" w:rsidP="00DB2788">
            <w:pPr>
              <w:jc w:val="both"/>
              <w:rPr>
                <w:rFonts w:eastAsia="Calibri"/>
                <w:lang w:val="de-DE"/>
              </w:rPr>
            </w:pPr>
            <w:r w:rsidRPr="00E76A04">
              <w:rPr>
                <w:lang w:val="de-DE"/>
              </w:rPr>
              <w:t xml:space="preserve">Acrylamid, </w:t>
            </w:r>
            <w:proofErr w:type="spellStart"/>
            <w:r w:rsidRPr="00E76A04">
              <w:rPr>
                <w:lang w:val="de-DE"/>
              </w:rPr>
              <w:t>Epichlorhydrin</w:t>
            </w:r>
            <w:proofErr w:type="spellEnd"/>
            <w:r w:rsidRPr="00E76A04">
              <w:rPr>
                <w:lang w:val="de-DE"/>
              </w:rPr>
              <w:t xml:space="preserve"> und Vinylchlorid sind anhand der Produktspezifikation zu kontrollieren.</w:t>
            </w:r>
          </w:p>
        </w:tc>
      </w:tr>
    </w:tbl>
    <w:p w:rsidR="00E76A04" w:rsidRPr="00E76A04" w:rsidRDefault="00E76A04" w:rsidP="00DB2788">
      <w:pPr>
        <w:jc w:val="both"/>
        <w:rPr>
          <w:lang w:val="de-DE"/>
        </w:rPr>
      </w:pPr>
    </w:p>
    <w:p w:rsidR="00E76A04" w:rsidRDefault="00E76A04" w:rsidP="00DB2788">
      <w:pPr>
        <w:pStyle w:val="Paragraphedeliste"/>
        <w:spacing w:after="0" w:line="240" w:lineRule="auto"/>
        <w:ind w:left="0"/>
        <w:jc w:val="both"/>
        <w:rPr>
          <w:rFonts w:ascii="Times New Roman" w:hAnsi="Times New Roman"/>
          <w:sz w:val="24"/>
          <w:szCs w:val="24"/>
        </w:rPr>
      </w:pPr>
      <w:r>
        <w:rPr>
          <w:rFonts w:ascii="Times New Roman" w:hAnsi="Times New Roman"/>
          <w:sz w:val="24"/>
        </w:rPr>
        <w:t>Anmerkungen zu den Tabellen 2 und 3:</w:t>
      </w:r>
    </w:p>
    <w:p w:rsidR="00E76A04" w:rsidRPr="00700797" w:rsidRDefault="00E76A04" w:rsidP="00DB2788">
      <w:pPr>
        <w:pStyle w:val="Paragraphedeliste"/>
        <w:spacing w:after="0" w:line="240" w:lineRule="auto"/>
        <w:ind w:left="0"/>
        <w:jc w:val="both"/>
        <w:rPr>
          <w:rFonts w:ascii="Times New Roman" w:hAnsi="Times New Roman"/>
          <w:sz w:val="24"/>
          <w:szCs w:val="24"/>
        </w:rPr>
      </w:pPr>
    </w:p>
    <w:tbl>
      <w:tblPr>
        <w:tblW w:w="5000" w:type="pct"/>
        <w:tblBorders>
          <w:top w:val="single" w:sz="4" w:space="0" w:color="7F7F7F"/>
          <w:bottom w:val="single" w:sz="4" w:space="0" w:color="7F7F7F"/>
        </w:tblBorders>
        <w:tblLook w:val="04A0" w:firstRow="1" w:lastRow="0" w:firstColumn="1" w:lastColumn="0" w:noHBand="0" w:noVBand="1"/>
      </w:tblPr>
      <w:tblGrid>
        <w:gridCol w:w="1139"/>
        <w:gridCol w:w="7931"/>
      </w:tblGrid>
      <w:tr w:rsidR="00E76A04" w:rsidRPr="00E76A04" w:rsidTr="00883C73">
        <w:tc>
          <w:tcPr>
            <w:tcW w:w="628" w:type="pct"/>
            <w:tcBorders>
              <w:top w:val="single" w:sz="4" w:space="0" w:color="000000"/>
              <w:left w:val="nil"/>
              <w:bottom w:val="single" w:sz="4" w:space="0" w:color="000000"/>
              <w:right w:val="nil"/>
            </w:tcBorders>
            <w:shd w:val="clear" w:color="auto" w:fill="auto"/>
            <w:hideMark/>
          </w:tcPr>
          <w:p w:rsidR="00E76A04" w:rsidRPr="00700797" w:rsidRDefault="00E76A04" w:rsidP="00DB2788">
            <w:pPr>
              <w:jc w:val="both"/>
              <w:rPr>
                <w:rFonts w:eastAsia="Calibri"/>
                <w:b/>
                <w:bCs/>
                <w:color w:val="000000"/>
              </w:rPr>
            </w:pPr>
            <w:r>
              <w:rPr>
                <w:b/>
                <w:color w:val="000000"/>
              </w:rPr>
              <w:t>Anm. 1</w:t>
            </w:r>
          </w:p>
        </w:tc>
        <w:tc>
          <w:tcPr>
            <w:tcW w:w="4372" w:type="pct"/>
            <w:tcBorders>
              <w:top w:val="single" w:sz="4" w:space="0" w:color="000000"/>
              <w:left w:val="nil"/>
              <w:bottom w:val="single" w:sz="4" w:space="0" w:color="000000"/>
              <w:right w:val="nil"/>
            </w:tcBorders>
            <w:shd w:val="clear" w:color="auto" w:fill="auto"/>
            <w:hideMark/>
          </w:tcPr>
          <w:p w:rsidR="00E76A04" w:rsidRPr="00E76A04" w:rsidRDefault="00E76A04" w:rsidP="00DB2788">
            <w:pPr>
              <w:jc w:val="both"/>
              <w:rPr>
                <w:rFonts w:eastAsia="Calibri"/>
                <w:bCs/>
                <w:color w:val="000000"/>
                <w:lang w:val="de-DE"/>
              </w:rPr>
            </w:pPr>
            <w:r w:rsidRPr="00E76A04">
              <w:rPr>
                <w:color w:val="000000"/>
                <w:lang w:val="de-DE"/>
              </w:rPr>
              <w:t>"Messunsicherheit" ist ein nicht negativer Parameter, der die Streuung derjenigen Werte beschreibt, die der Messgröße auf der Basis der verwendeten Infor</w:t>
            </w:r>
            <w:r w:rsidRPr="00E76A04">
              <w:rPr>
                <w:color w:val="000000"/>
                <w:lang w:val="de-DE"/>
              </w:rPr>
              <w:softHyphen/>
              <w:t xml:space="preserve">mationen zugeordnet werden. </w:t>
            </w:r>
            <w:r w:rsidRPr="00E76A04">
              <w:rPr>
                <w:lang w:val="de-DE"/>
              </w:rPr>
              <w:t>Der Verfahrenskennwert für die Messunsicherheit (k = 2) ist der Prozentsatz des Parameterwertes in der Tabelle oder besser.</w:t>
            </w:r>
            <w:r w:rsidRPr="00E76A04">
              <w:rPr>
                <w:color w:val="000000"/>
                <w:lang w:val="de-DE"/>
              </w:rPr>
              <w:t xml:space="preserve"> Die Messunsicherheit wird auf der Ebene des Parameterwertes geschätzt, soweit nicht anders angegeben.</w:t>
            </w:r>
          </w:p>
        </w:tc>
      </w:tr>
      <w:tr w:rsidR="00E76A04" w:rsidRPr="00700797" w:rsidTr="00883C73">
        <w:tc>
          <w:tcPr>
            <w:tcW w:w="628" w:type="pct"/>
            <w:tcBorders>
              <w:top w:val="single" w:sz="4" w:space="0" w:color="000000"/>
              <w:left w:val="nil"/>
              <w:bottom w:val="single" w:sz="4" w:space="0" w:color="000000"/>
              <w:right w:val="nil"/>
            </w:tcBorders>
            <w:shd w:val="clear" w:color="auto" w:fill="auto"/>
            <w:hideMark/>
          </w:tcPr>
          <w:p w:rsidR="00E76A04" w:rsidRPr="00700797" w:rsidRDefault="00E76A04" w:rsidP="00DB2788">
            <w:pPr>
              <w:jc w:val="both"/>
              <w:rPr>
                <w:rFonts w:eastAsia="Calibri"/>
                <w:b/>
                <w:bCs/>
                <w:color w:val="000000"/>
              </w:rPr>
            </w:pPr>
            <w:proofErr w:type="spellStart"/>
            <w:r>
              <w:rPr>
                <w:b/>
                <w:color w:val="000000"/>
              </w:rPr>
              <w:t>Anm</w:t>
            </w:r>
            <w:proofErr w:type="spellEnd"/>
            <w:r>
              <w:rPr>
                <w:b/>
                <w:color w:val="000000"/>
              </w:rPr>
              <w:t>. 2</w:t>
            </w:r>
          </w:p>
        </w:tc>
        <w:tc>
          <w:tcPr>
            <w:tcW w:w="4372" w:type="pct"/>
            <w:tcBorders>
              <w:top w:val="single" w:sz="4" w:space="0" w:color="000000"/>
              <w:left w:val="nil"/>
              <w:bottom w:val="single" w:sz="4" w:space="0" w:color="000000"/>
              <w:right w:val="nil"/>
            </w:tcBorders>
            <w:shd w:val="clear" w:color="auto" w:fill="auto"/>
            <w:hideMark/>
          </w:tcPr>
          <w:p w:rsidR="00E76A04" w:rsidRPr="00700797" w:rsidRDefault="00E76A04" w:rsidP="00DB2788">
            <w:pPr>
              <w:jc w:val="both"/>
              <w:rPr>
                <w:rFonts w:eastAsia="Calibri"/>
                <w:color w:val="000000"/>
              </w:rPr>
            </w:pPr>
            <w:r w:rsidRPr="00E76A04">
              <w:rPr>
                <w:lang w:val="de-DE"/>
              </w:rPr>
              <w:t xml:space="preserve">"Richtigkeit" ist die systematische Messabweichung, d. h. die Differenz zwischen dem Mittelwert aus einer großen Anzahl von wiederholten Messungen und dem wahren Wert. </w:t>
            </w:r>
            <w:proofErr w:type="spellStart"/>
            <w:r>
              <w:t>Weitere</w:t>
            </w:r>
            <w:proofErr w:type="spellEnd"/>
            <w:r>
              <w:t xml:space="preserve"> </w:t>
            </w:r>
            <w:proofErr w:type="spellStart"/>
            <w:r>
              <w:t>Spezifikationen</w:t>
            </w:r>
            <w:proofErr w:type="spellEnd"/>
            <w:r>
              <w:t xml:space="preserve"> </w:t>
            </w:r>
            <w:proofErr w:type="spellStart"/>
            <w:r>
              <w:t>sind</w:t>
            </w:r>
            <w:proofErr w:type="spellEnd"/>
            <w:r>
              <w:t xml:space="preserve"> der Norm ISO 5725 zu entnehmen.</w:t>
            </w:r>
          </w:p>
        </w:tc>
      </w:tr>
    </w:tbl>
    <w:p w:rsidR="00E76A04" w:rsidRDefault="00E76A04">
      <w:r>
        <w:br w:type="page"/>
      </w:r>
    </w:p>
    <w:tbl>
      <w:tblPr>
        <w:tblW w:w="5000" w:type="pct"/>
        <w:tblBorders>
          <w:top w:val="single" w:sz="4" w:space="0" w:color="7F7F7F"/>
          <w:bottom w:val="single" w:sz="4" w:space="0" w:color="7F7F7F"/>
        </w:tblBorders>
        <w:tblLook w:val="04A0" w:firstRow="1" w:lastRow="0" w:firstColumn="1" w:lastColumn="0" w:noHBand="0" w:noVBand="1"/>
      </w:tblPr>
      <w:tblGrid>
        <w:gridCol w:w="1143"/>
        <w:gridCol w:w="7927"/>
      </w:tblGrid>
      <w:tr w:rsidR="00E76A04" w:rsidRPr="00700797" w:rsidTr="00883C73">
        <w:tc>
          <w:tcPr>
            <w:tcW w:w="628" w:type="pct"/>
            <w:tcBorders>
              <w:top w:val="single" w:sz="4" w:space="0" w:color="000000"/>
              <w:left w:val="nil"/>
              <w:bottom w:val="single" w:sz="4" w:space="0" w:color="auto"/>
              <w:right w:val="nil"/>
            </w:tcBorders>
            <w:shd w:val="clear" w:color="auto" w:fill="auto"/>
            <w:hideMark/>
          </w:tcPr>
          <w:p w:rsidR="00E76A04" w:rsidRPr="00700797" w:rsidRDefault="00E76A04" w:rsidP="00DB2788">
            <w:pPr>
              <w:jc w:val="both"/>
              <w:rPr>
                <w:rFonts w:eastAsia="Calibri"/>
                <w:b/>
                <w:bCs/>
                <w:color w:val="000000"/>
              </w:rPr>
            </w:pPr>
            <w:proofErr w:type="spellStart"/>
            <w:r>
              <w:rPr>
                <w:b/>
                <w:color w:val="000000"/>
              </w:rPr>
              <w:t>Anm</w:t>
            </w:r>
            <w:proofErr w:type="spellEnd"/>
            <w:r>
              <w:rPr>
                <w:b/>
                <w:color w:val="000000"/>
              </w:rPr>
              <w:t>. 3</w:t>
            </w:r>
          </w:p>
        </w:tc>
        <w:tc>
          <w:tcPr>
            <w:tcW w:w="4372" w:type="pct"/>
            <w:tcBorders>
              <w:top w:val="single" w:sz="4" w:space="0" w:color="000000"/>
              <w:left w:val="nil"/>
              <w:bottom w:val="single" w:sz="4" w:space="0" w:color="auto"/>
              <w:right w:val="nil"/>
            </w:tcBorders>
            <w:shd w:val="clear" w:color="auto" w:fill="auto"/>
            <w:hideMark/>
          </w:tcPr>
          <w:p w:rsidR="00E76A04" w:rsidRPr="00700797" w:rsidRDefault="00E76A04" w:rsidP="00DB2788">
            <w:pPr>
              <w:jc w:val="both"/>
              <w:rPr>
                <w:rFonts w:eastAsia="Calibri"/>
              </w:rPr>
            </w:pPr>
            <w:r w:rsidRPr="00E76A04">
              <w:rPr>
                <w:lang w:val="de-DE"/>
              </w:rPr>
              <w:t>"Präzision" ist die zufällige Messabweichung, die in der Regel als die Standardabweichung (innerhalb einer Messwertreihe und zwischen Mess</w:t>
            </w:r>
            <w:r w:rsidRPr="00E76A04">
              <w:rPr>
                <w:lang w:val="de-DE"/>
              </w:rPr>
              <w:softHyphen/>
              <w:t xml:space="preserve">wertreihen) der Streuung von Ergebnissen um den Mittelwert ausgedrückt wird. Eine annehmbare Präzision bezieht sich auf die zweifache relative Standardabweichung. </w:t>
            </w:r>
            <w:proofErr w:type="spellStart"/>
            <w:r>
              <w:t>Dieser</w:t>
            </w:r>
            <w:proofErr w:type="spellEnd"/>
            <w:r>
              <w:t xml:space="preserve"> </w:t>
            </w:r>
            <w:proofErr w:type="spellStart"/>
            <w:r>
              <w:t>Begriff</w:t>
            </w:r>
            <w:proofErr w:type="spellEnd"/>
            <w:r>
              <w:t xml:space="preserve"> </w:t>
            </w:r>
            <w:proofErr w:type="spellStart"/>
            <w:r>
              <w:t>ist</w:t>
            </w:r>
            <w:proofErr w:type="spellEnd"/>
            <w:r>
              <w:t xml:space="preserve"> in ISO 5725 näher definiert.</w:t>
            </w:r>
          </w:p>
        </w:tc>
      </w:tr>
      <w:tr w:rsidR="00E76A04" w:rsidRPr="00E76A04" w:rsidTr="00883C73">
        <w:tc>
          <w:tcPr>
            <w:tcW w:w="628" w:type="pct"/>
            <w:tcBorders>
              <w:top w:val="single" w:sz="4" w:space="0" w:color="auto"/>
              <w:left w:val="nil"/>
              <w:bottom w:val="single" w:sz="4" w:space="0" w:color="7F7F7F"/>
              <w:right w:val="nil"/>
            </w:tcBorders>
            <w:shd w:val="clear" w:color="auto" w:fill="auto"/>
            <w:hideMark/>
          </w:tcPr>
          <w:p w:rsidR="00E76A04" w:rsidRPr="00700797" w:rsidRDefault="00E76A04" w:rsidP="00DB2788">
            <w:pPr>
              <w:jc w:val="both"/>
              <w:rPr>
                <w:rFonts w:eastAsia="Calibri"/>
                <w:b/>
                <w:bCs/>
                <w:color w:val="000000"/>
              </w:rPr>
            </w:pPr>
            <w:r>
              <w:rPr>
                <w:b/>
                <w:color w:val="000000"/>
              </w:rPr>
              <w:t xml:space="preserve">Anm. 4 </w:t>
            </w:r>
          </w:p>
        </w:tc>
        <w:tc>
          <w:tcPr>
            <w:tcW w:w="4372" w:type="pct"/>
            <w:tcBorders>
              <w:top w:val="single" w:sz="4" w:space="0" w:color="auto"/>
              <w:left w:val="nil"/>
              <w:bottom w:val="single" w:sz="4" w:space="0" w:color="000000"/>
              <w:right w:val="nil"/>
            </w:tcBorders>
            <w:shd w:val="clear" w:color="auto" w:fill="auto"/>
            <w:hideMark/>
          </w:tcPr>
          <w:p w:rsidR="00E76A04" w:rsidRPr="00E76A04" w:rsidRDefault="00E76A04" w:rsidP="00DB2788">
            <w:pPr>
              <w:jc w:val="both"/>
              <w:rPr>
                <w:rFonts w:eastAsia="Calibri"/>
                <w:lang w:val="de-DE"/>
              </w:rPr>
            </w:pPr>
            <w:r w:rsidRPr="00E76A04">
              <w:rPr>
                <w:lang w:val="de-DE"/>
              </w:rPr>
              <w:t>"Nachweisgrenze" ist entweder die dreifache Standardabweichung (innerhalb einer Messwertreihe) einer natürlichen Probe mit einer niedrigen Konzentration des Parameters oder die fünffache Standardabweichung einer Blindprobe (innerhalb einer Messwertreihe).</w:t>
            </w:r>
          </w:p>
        </w:tc>
      </w:tr>
      <w:tr w:rsidR="00E76A04" w:rsidRPr="00E76A04" w:rsidTr="00883C73">
        <w:tc>
          <w:tcPr>
            <w:tcW w:w="628" w:type="pct"/>
            <w:tcBorders>
              <w:top w:val="single" w:sz="4" w:space="0" w:color="000000"/>
              <w:left w:val="nil"/>
              <w:bottom w:val="single" w:sz="4" w:space="0" w:color="000000"/>
              <w:right w:val="nil"/>
            </w:tcBorders>
            <w:shd w:val="clear" w:color="auto" w:fill="auto"/>
            <w:hideMark/>
          </w:tcPr>
          <w:p w:rsidR="00E76A04" w:rsidRPr="00700797" w:rsidRDefault="00E76A04" w:rsidP="00DB2788">
            <w:pPr>
              <w:jc w:val="both"/>
              <w:rPr>
                <w:rFonts w:eastAsia="Calibri"/>
                <w:b/>
                <w:bCs/>
                <w:color w:val="000000"/>
              </w:rPr>
            </w:pPr>
            <w:proofErr w:type="spellStart"/>
            <w:r>
              <w:rPr>
                <w:b/>
                <w:color w:val="000000"/>
              </w:rPr>
              <w:t>Anm</w:t>
            </w:r>
            <w:proofErr w:type="spellEnd"/>
            <w:r>
              <w:rPr>
                <w:b/>
                <w:color w:val="000000"/>
              </w:rPr>
              <w:t>. 5</w:t>
            </w:r>
          </w:p>
        </w:tc>
        <w:tc>
          <w:tcPr>
            <w:tcW w:w="4372" w:type="pct"/>
            <w:tcBorders>
              <w:top w:val="single" w:sz="4" w:space="0" w:color="000000"/>
              <w:left w:val="nil"/>
              <w:bottom w:val="single" w:sz="4" w:space="0" w:color="000000"/>
              <w:right w:val="nil"/>
            </w:tcBorders>
            <w:shd w:val="clear" w:color="auto" w:fill="auto"/>
            <w:hideMark/>
          </w:tcPr>
          <w:p w:rsidR="00E76A04" w:rsidRPr="00E76A04" w:rsidRDefault="00E76A04" w:rsidP="00326BDF">
            <w:pPr>
              <w:jc w:val="both"/>
              <w:rPr>
                <w:rFonts w:eastAsia="Calibri"/>
                <w:color w:val="000000"/>
                <w:lang w:val="de-DE"/>
              </w:rPr>
            </w:pPr>
            <w:r w:rsidRPr="00E76A04">
              <w:rPr>
                <w:lang w:val="de-DE"/>
              </w:rPr>
              <w:t>Kann der Wert der Messunsicherheit nicht erreicht werden, so sollte die beste verfügbare Technik gewählt werden (bis zu 60 Prozent).</w:t>
            </w:r>
          </w:p>
        </w:tc>
      </w:tr>
      <w:tr w:rsidR="00E76A04" w:rsidRPr="00E76A04" w:rsidTr="00883C73">
        <w:tc>
          <w:tcPr>
            <w:tcW w:w="628" w:type="pct"/>
            <w:tcBorders>
              <w:top w:val="single" w:sz="4" w:space="0" w:color="000000"/>
              <w:left w:val="nil"/>
              <w:bottom w:val="single" w:sz="4" w:space="0" w:color="000000"/>
              <w:right w:val="nil"/>
            </w:tcBorders>
            <w:shd w:val="clear" w:color="auto" w:fill="auto"/>
            <w:hideMark/>
          </w:tcPr>
          <w:p w:rsidR="00E76A04" w:rsidRPr="00700797" w:rsidRDefault="00E76A04" w:rsidP="00DB2788">
            <w:pPr>
              <w:jc w:val="both"/>
              <w:rPr>
                <w:rFonts w:eastAsia="Calibri"/>
                <w:b/>
                <w:bCs/>
                <w:color w:val="000000"/>
              </w:rPr>
            </w:pPr>
            <w:proofErr w:type="spellStart"/>
            <w:r>
              <w:rPr>
                <w:b/>
                <w:color w:val="000000"/>
              </w:rPr>
              <w:t>Anm</w:t>
            </w:r>
            <w:proofErr w:type="spellEnd"/>
            <w:r>
              <w:rPr>
                <w:b/>
                <w:color w:val="000000"/>
              </w:rPr>
              <w:t>. 6</w:t>
            </w:r>
          </w:p>
        </w:tc>
        <w:tc>
          <w:tcPr>
            <w:tcW w:w="4372" w:type="pct"/>
            <w:tcBorders>
              <w:top w:val="single" w:sz="4" w:space="0" w:color="000000"/>
              <w:left w:val="nil"/>
              <w:bottom w:val="single" w:sz="4" w:space="0" w:color="000000"/>
              <w:right w:val="nil"/>
            </w:tcBorders>
            <w:shd w:val="clear" w:color="auto" w:fill="auto"/>
            <w:hideMark/>
          </w:tcPr>
          <w:p w:rsidR="00E76A04" w:rsidRPr="00E76A04" w:rsidRDefault="00E76A04" w:rsidP="00DB2788">
            <w:pPr>
              <w:jc w:val="both"/>
              <w:rPr>
                <w:rFonts w:eastAsia="Calibri"/>
                <w:color w:val="000000"/>
                <w:lang w:val="de-DE"/>
              </w:rPr>
            </w:pPr>
            <w:r w:rsidRPr="00E76A04">
              <w:rPr>
                <w:lang w:val="de-DE"/>
              </w:rPr>
              <w:t xml:space="preserve">Mit dem Verfahren sollte der </w:t>
            </w:r>
            <w:proofErr w:type="spellStart"/>
            <w:r w:rsidRPr="00E76A04">
              <w:rPr>
                <w:lang w:val="de-DE"/>
              </w:rPr>
              <w:t>Gesamtcyanidgehalt</w:t>
            </w:r>
            <w:proofErr w:type="spellEnd"/>
            <w:r w:rsidRPr="00E76A04">
              <w:rPr>
                <w:lang w:val="de-DE"/>
              </w:rPr>
              <w:t xml:space="preserve"> in allen Formen bestimmt werden können.</w:t>
            </w:r>
          </w:p>
        </w:tc>
      </w:tr>
      <w:tr w:rsidR="00E76A04" w:rsidRPr="00E76A04" w:rsidTr="00883C73">
        <w:tc>
          <w:tcPr>
            <w:tcW w:w="628" w:type="pct"/>
            <w:tcBorders>
              <w:top w:val="single" w:sz="4" w:space="0" w:color="000000"/>
              <w:left w:val="nil"/>
              <w:bottom w:val="single" w:sz="4" w:space="0" w:color="000000"/>
              <w:right w:val="nil"/>
            </w:tcBorders>
            <w:shd w:val="clear" w:color="auto" w:fill="auto"/>
            <w:hideMark/>
          </w:tcPr>
          <w:p w:rsidR="00E76A04" w:rsidRPr="00700797" w:rsidRDefault="00E76A04" w:rsidP="00DB2788">
            <w:pPr>
              <w:jc w:val="both"/>
              <w:rPr>
                <w:rFonts w:eastAsia="Calibri"/>
                <w:b/>
                <w:bCs/>
                <w:color w:val="000000"/>
              </w:rPr>
            </w:pPr>
            <w:proofErr w:type="spellStart"/>
            <w:r>
              <w:rPr>
                <w:b/>
              </w:rPr>
              <w:t>Anm</w:t>
            </w:r>
            <w:proofErr w:type="spellEnd"/>
            <w:r>
              <w:rPr>
                <w:b/>
              </w:rPr>
              <w:t>. 7 </w:t>
            </w:r>
          </w:p>
        </w:tc>
        <w:tc>
          <w:tcPr>
            <w:tcW w:w="4372" w:type="pct"/>
            <w:tcBorders>
              <w:top w:val="single" w:sz="4" w:space="0" w:color="000000"/>
              <w:left w:val="nil"/>
              <w:bottom w:val="single" w:sz="4" w:space="0" w:color="000000"/>
              <w:right w:val="nil"/>
            </w:tcBorders>
            <w:shd w:val="clear" w:color="auto" w:fill="auto"/>
            <w:hideMark/>
          </w:tcPr>
          <w:p w:rsidR="00E76A04" w:rsidRPr="00E76A04" w:rsidRDefault="00E76A04" w:rsidP="00DB2788">
            <w:pPr>
              <w:jc w:val="both"/>
              <w:rPr>
                <w:rFonts w:eastAsia="Calibri"/>
                <w:color w:val="000000"/>
                <w:lang w:val="de-DE"/>
              </w:rPr>
            </w:pPr>
            <w:r w:rsidRPr="00E76A04">
              <w:rPr>
                <w:lang w:val="de-DE"/>
              </w:rPr>
              <w:t>Werte für Richtigkeit, Präzision und Messunsicherheit werden in pH-Einheiten ausgedrückt.</w:t>
            </w:r>
          </w:p>
        </w:tc>
      </w:tr>
      <w:tr w:rsidR="00E76A04" w:rsidRPr="00700797" w:rsidTr="00883C73">
        <w:tc>
          <w:tcPr>
            <w:tcW w:w="628" w:type="pct"/>
            <w:tcBorders>
              <w:top w:val="single" w:sz="4" w:space="0" w:color="000000"/>
              <w:left w:val="nil"/>
              <w:bottom w:val="single" w:sz="4" w:space="0" w:color="000000"/>
              <w:right w:val="nil"/>
            </w:tcBorders>
            <w:shd w:val="clear" w:color="auto" w:fill="auto"/>
            <w:hideMark/>
          </w:tcPr>
          <w:p w:rsidR="00E76A04" w:rsidRPr="00700797" w:rsidRDefault="00E76A04" w:rsidP="00DB2788">
            <w:pPr>
              <w:jc w:val="both"/>
              <w:rPr>
                <w:rFonts w:eastAsia="Calibri"/>
                <w:b/>
                <w:bCs/>
              </w:rPr>
            </w:pPr>
            <w:proofErr w:type="spellStart"/>
            <w:r>
              <w:rPr>
                <w:b/>
              </w:rPr>
              <w:t>Anm</w:t>
            </w:r>
            <w:proofErr w:type="spellEnd"/>
            <w:r>
              <w:rPr>
                <w:b/>
              </w:rPr>
              <w:t>. 8 </w:t>
            </w:r>
          </w:p>
        </w:tc>
        <w:tc>
          <w:tcPr>
            <w:tcW w:w="4372" w:type="pct"/>
            <w:tcBorders>
              <w:top w:val="single" w:sz="4" w:space="0" w:color="000000"/>
              <w:left w:val="nil"/>
              <w:bottom w:val="single" w:sz="4" w:space="0" w:color="000000"/>
              <w:right w:val="nil"/>
            </w:tcBorders>
            <w:shd w:val="clear" w:color="auto" w:fill="auto"/>
            <w:hideMark/>
          </w:tcPr>
          <w:p w:rsidR="00E76A04" w:rsidRPr="00700797" w:rsidRDefault="00E76A04" w:rsidP="00DB2788">
            <w:pPr>
              <w:jc w:val="both"/>
              <w:rPr>
                <w:rFonts w:eastAsia="Calibri"/>
              </w:rPr>
            </w:pPr>
            <w:r>
              <w:t>Referenzverfahren: EN ISO 8467.</w:t>
            </w:r>
          </w:p>
        </w:tc>
      </w:tr>
      <w:tr w:rsidR="00E76A04" w:rsidRPr="00E76A04" w:rsidTr="00883C73">
        <w:tc>
          <w:tcPr>
            <w:tcW w:w="628" w:type="pct"/>
            <w:tcBorders>
              <w:top w:val="single" w:sz="4" w:space="0" w:color="000000"/>
              <w:left w:val="nil"/>
              <w:bottom w:val="single" w:sz="4" w:space="0" w:color="000000"/>
              <w:right w:val="nil"/>
            </w:tcBorders>
            <w:shd w:val="clear" w:color="auto" w:fill="auto"/>
            <w:hideMark/>
          </w:tcPr>
          <w:p w:rsidR="00E76A04" w:rsidRPr="00700797" w:rsidRDefault="00E76A04" w:rsidP="00DB2788">
            <w:pPr>
              <w:jc w:val="both"/>
              <w:rPr>
                <w:rFonts w:eastAsia="Calibri"/>
                <w:b/>
                <w:bCs/>
              </w:rPr>
            </w:pPr>
            <w:r>
              <w:rPr>
                <w:b/>
              </w:rPr>
              <w:t>Anm. 9 </w:t>
            </w:r>
          </w:p>
        </w:tc>
        <w:tc>
          <w:tcPr>
            <w:tcW w:w="4372" w:type="pct"/>
            <w:tcBorders>
              <w:top w:val="single" w:sz="4" w:space="0" w:color="000000"/>
              <w:left w:val="nil"/>
              <w:bottom w:val="single" w:sz="4" w:space="0" w:color="000000"/>
              <w:right w:val="nil"/>
            </w:tcBorders>
            <w:shd w:val="clear" w:color="auto" w:fill="auto"/>
            <w:hideMark/>
          </w:tcPr>
          <w:p w:rsidR="00E76A04" w:rsidRPr="00E76A04" w:rsidRDefault="00E76A04" w:rsidP="00326BDF">
            <w:pPr>
              <w:jc w:val="both"/>
              <w:rPr>
                <w:rFonts w:eastAsia="Calibri"/>
                <w:lang w:val="de-DE"/>
              </w:rPr>
            </w:pPr>
            <w:r w:rsidRPr="00E76A04">
              <w:rPr>
                <w:lang w:val="de-DE"/>
              </w:rPr>
              <w:t>Die Verfahrenskennwerte für einzelne Pestizide dienen als Hinweis. Mess</w:t>
            </w:r>
            <w:r w:rsidRPr="00E76A04">
              <w:rPr>
                <w:lang w:val="de-DE"/>
              </w:rPr>
              <w:softHyphen/>
              <w:t>unsicherheitswerte von lediglich 30 Prozent können bei mehreren Pestiziden erzielt werden, höhere Werte bis zu 80 Prozent können für einige Pestizide zugelassen werden.</w:t>
            </w:r>
          </w:p>
        </w:tc>
      </w:tr>
      <w:tr w:rsidR="00E76A04" w:rsidRPr="00E76A04" w:rsidTr="00883C73">
        <w:tc>
          <w:tcPr>
            <w:tcW w:w="628" w:type="pct"/>
            <w:tcBorders>
              <w:top w:val="single" w:sz="4" w:space="0" w:color="000000"/>
              <w:left w:val="nil"/>
              <w:bottom w:val="single" w:sz="4" w:space="0" w:color="000000"/>
              <w:right w:val="nil"/>
            </w:tcBorders>
            <w:shd w:val="clear" w:color="auto" w:fill="auto"/>
            <w:hideMark/>
          </w:tcPr>
          <w:p w:rsidR="00E76A04" w:rsidRPr="00700797" w:rsidRDefault="00E76A04" w:rsidP="00DB2788">
            <w:pPr>
              <w:jc w:val="both"/>
              <w:rPr>
                <w:rFonts w:eastAsia="Calibri"/>
                <w:b/>
                <w:bCs/>
                <w:color w:val="000000"/>
              </w:rPr>
            </w:pPr>
            <w:proofErr w:type="spellStart"/>
            <w:r>
              <w:rPr>
                <w:b/>
              </w:rPr>
              <w:t>Anm</w:t>
            </w:r>
            <w:proofErr w:type="spellEnd"/>
            <w:r>
              <w:rPr>
                <w:b/>
              </w:rPr>
              <w:t>. 10 </w:t>
            </w:r>
          </w:p>
        </w:tc>
        <w:tc>
          <w:tcPr>
            <w:tcW w:w="4372" w:type="pct"/>
            <w:tcBorders>
              <w:top w:val="single" w:sz="4" w:space="0" w:color="000000"/>
              <w:left w:val="nil"/>
              <w:bottom w:val="single" w:sz="4" w:space="0" w:color="000000"/>
              <w:right w:val="nil"/>
            </w:tcBorders>
            <w:shd w:val="clear" w:color="auto" w:fill="auto"/>
            <w:hideMark/>
          </w:tcPr>
          <w:p w:rsidR="00E76A04" w:rsidRPr="00E76A04" w:rsidRDefault="00E76A04" w:rsidP="00326BDF">
            <w:pPr>
              <w:jc w:val="both"/>
              <w:rPr>
                <w:rFonts w:eastAsia="Calibri"/>
                <w:color w:val="000000"/>
                <w:lang w:val="de-DE"/>
              </w:rPr>
            </w:pPr>
            <w:r w:rsidRPr="00E76A04">
              <w:rPr>
                <w:lang w:val="de-DE"/>
              </w:rPr>
              <w:t>Die Verfahrenskennwerte gelten für einzelne spezifizierte Stoffe bei 25 Prozent des Parameterwerts in Teil B der Anlage.</w:t>
            </w:r>
          </w:p>
        </w:tc>
      </w:tr>
      <w:tr w:rsidR="00E76A04" w:rsidRPr="00E76A04" w:rsidTr="00883C73">
        <w:tc>
          <w:tcPr>
            <w:tcW w:w="628" w:type="pct"/>
            <w:tcBorders>
              <w:top w:val="single" w:sz="4" w:space="0" w:color="000000"/>
              <w:left w:val="nil"/>
              <w:bottom w:val="single" w:sz="4" w:space="0" w:color="000000"/>
              <w:right w:val="nil"/>
            </w:tcBorders>
            <w:shd w:val="clear" w:color="auto" w:fill="auto"/>
            <w:hideMark/>
          </w:tcPr>
          <w:p w:rsidR="00E76A04" w:rsidRPr="00700797" w:rsidRDefault="00E76A04" w:rsidP="00DB2788">
            <w:pPr>
              <w:jc w:val="both"/>
              <w:rPr>
                <w:rFonts w:eastAsia="Calibri"/>
                <w:b/>
                <w:bCs/>
              </w:rPr>
            </w:pPr>
            <w:proofErr w:type="spellStart"/>
            <w:r>
              <w:rPr>
                <w:b/>
              </w:rPr>
              <w:t>Anm</w:t>
            </w:r>
            <w:proofErr w:type="spellEnd"/>
            <w:r>
              <w:rPr>
                <w:b/>
              </w:rPr>
              <w:t>. 11 </w:t>
            </w:r>
          </w:p>
        </w:tc>
        <w:tc>
          <w:tcPr>
            <w:tcW w:w="4372" w:type="pct"/>
            <w:tcBorders>
              <w:top w:val="single" w:sz="4" w:space="0" w:color="000000"/>
              <w:left w:val="nil"/>
              <w:bottom w:val="single" w:sz="4" w:space="0" w:color="000000"/>
              <w:right w:val="nil"/>
            </w:tcBorders>
            <w:shd w:val="clear" w:color="auto" w:fill="auto"/>
            <w:hideMark/>
          </w:tcPr>
          <w:p w:rsidR="00E76A04" w:rsidRPr="00E76A04" w:rsidRDefault="00E76A04" w:rsidP="00326BDF">
            <w:pPr>
              <w:jc w:val="both"/>
              <w:rPr>
                <w:rFonts w:eastAsia="Calibri"/>
                <w:color w:val="000000"/>
                <w:lang w:val="de-DE"/>
              </w:rPr>
            </w:pPr>
            <w:r w:rsidRPr="00E76A04">
              <w:rPr>
                <w:lang w:val="de-DE"/>
              </w:rPr>
              <w:t>Die Verfahrenskennwerte gelten für einzelne spezifizierte Stoffe bei 50 Prozent des Parameterwerts in Teil B der Anlage.</w:t>
            </w:r>
          </w:p>
        </w:tc>
      </w:tr>
      <w:tr w:rsidR="00E76A04" w:rsidRPr="00E76A04" w:rsidTr="00883C73">
        <w:tc>
          <w:tcPr>
            <w:tcW w:w="628" w:type="pct"/>
            <w:tcBorders>
              <w:top w:val="single" w:sz="4" w:space="0" w:color="000000"/>
              <w:left w:val="nil"/>
              <w:bottom w:val="single" w:sz="4" w:space="0" w:color="000000"/>
              <w:right w:val="nil"/>
            </w:tcBorders>
            <w:shd w:val="clear" w:color="auto" w:fill="auto"/>
            <w:hideMark/>
          </w:tcPr>
          <w:p w:rsidR="00E76A04" w:rsidRPr="00700797" w:rsidRDefault="00E76A04" w:rsidP="00DB2788">
            <w:pPr>
              <w:jc w:val="both"/>
              <w:rPr>
                <w:rFonts w:eastAsia="Calibri"/>
                <w:b/>
                <w:bCs/>
              </w:rPr>
            </w:pPr>
            <w:proofErr w:type="spellStart"/>
            <w:r>
              <w:rPr>
                <w:b/>
              </w:rPr>
              <w:t>Anm</w:t>
            </w:r>
            <w:proofErr w:type="spellEnd"/>
            <w:r>
              <w:rPr>
                <w:b/>
              </w:rPr>
              <w:t>. 12 </w:t>
            </w:r>
          </w:p>
        </w:tc>
        <w:tc>
          <w:tcPr>
            <w:tcW w:w="4372" w:type="pct"/>
            <w:tcBorders>
              <w:top w:val="single" w:sz="4" w:space="0" w:color="000000"/>
              <w:left w:val="nil"/>
              <w:bottom w:val="single" w:sz="4" w:space="0" w:color="000000"/>
              <w:right w:val="nil"/>
            </w:tcBorders>
            <w:shd w:val="clear" w:color="auto" w:fill="auto"/>
            <w:hideMark/>
          </w:tcPr>
          <w:p w:rsidR="00E76A04" w:rsidRPr="00E76A04" w:rsidRDefault="00E76A04" w:rsidP="00DB2788">
            <w:pPr>
              <w:jc w:val="both"/>
              <w:rPr>
                <w:rFonts w:eastAsia="Calibri"/>
                <w:color w:val="000000"/>
                <w:lang w:val="de-DE"/>
              </w:rPr>
            </w:pPr>
            <w:r w:rsidRPr="00E76A04">
              <w:rPr>
                <w:lang w:val="de-DE"/>
              </w:rPr>
              <w:t>Die Messunsicherheit sollte auf 3 mg/l des gesamten organischen Kohlenstoffs (TOC) geschätzt werden. Zu verwenden ist die Norm CEN 1484 - Anleitungen zur Bestimmung des gesamten organischen Kohlenstoffs (TOC) und des gelösten organischen Kohlenstoffs (DOC).</w:t>
            </w:r>
          </w:p>
        </w:tc>
      </w:tr>
      <w:tr w:rsidR="00E76A04" w:rsidRPr="00E76A04" w:rsidTr="00883C73">
        <w:tc>
          <w:tcPr>
            <w:tcW w:w="628" w:type="pct"/>
            <w:tcBorders>
              <w:top w:val="single" w:sz="4" w:space="0" w:color="000000"/>
              <w:left w:val="nil"/>
              <w:bottom w:val="single" w:sz="4" w:space="0" w:color="000000"/>
              <w:right w:val="nil"/>
            </w:tcBorders>
            <w:shd w:val="clear" w:color="auto" w:fill="auto"/>
            <w:hideMark/>
          </w:tcPr>
          <w:p w:rsidR="00E76A04" w:rsidRPr="00700797" w:rsidRDefault="00E76A04" w:rsidP="00DB2788">
            <w:pPr>
              <w:jc w:val="both"/>
              <w:rPr>
                <w:rFonts w:eastAsia="Calibri"/>
                <w:b/>
                <w:bCs/>
              </w:rPr>
            </w:pPr>
            <w:proofErr w:type="spellStart"/>
            <w:r>
              <w:rPr>
                <w:b/>
              </w:rPr>
              <w:t>Anm</w:t>
            </w:r>
            <w:proofErr w:type="spellEnd"/>
            <w:r>
              <w:rPr>
                <w:b/>
              </w:rPr>
              <w:t>. 13 </w:t>
            </w:r>
          </w:p>
        </w:tc>
        <w:tc>
          <w:tcPr>
            <w:tcW w:w="4372" w:type="pct"/>
            <w:tcBorders>
              <w:top w:val="single" w:sz="4" w:space="0" w:color="000000"/>
              <w:left w:val="nil"/>
              <w:bottom w:val="single" w:sz="4" w:space="0" w:color="000000"/>
              <w:right w:val="nil"/>
            </w:tcBorders>
            <w:shd w:val="clear" w:color="auto" w:fill="auto"/>
            <w:hideMark/>
          </w:tcPr>
          <w:p w:rsidR="00E76A04" w:rsidRPr="00E76A04" w:rsidRDefault="00E76A04" w:rsidP="00DB2788">
            <w:pPr>
              <w:jc w:val="both"/>
              <w:rPr>
                <w:rFonts w:eastAsia="Calibri"/>
                <w:lang w:val="de-DE"/>
              </w:rPr>
            </w:pPr>
            <w:r w:rsidRPr="00E76A04">
              <w:rPr>
                <w:lang w:val="de-DE"/>
              </w:rPr>
              <w:t>Die Messunsicherheit sollte im Einklang mit der Norm EN ISO 7027 auf 1,0 NTU (</w:t>
            </w:r>
            <w:proofErr w:type="spellStart"/>
            <w:r w:rsidRPr="00E76A04">
              <w:rPr>
                <w:lang w:val="de-DE"/>
              </w:rPr>
              <w:t>nephelometrische</w:t>
            </w:r>
            <w:proofErr w:type="spellEnd"/>
            <w:r w:rsidRPr="00E76A04">
              <w:rPr>
                <w:lang w:val="de-DE"/>
              </w:rPr>
              <w:t xml:space="preserve"> Trübungseinheit) geschätzt werden.</w:t>
            </w:r>
          </w:p>
        </w:tc>
      </w:tr>
    </w:tbl>
    <w:p w:rsidR="00E76A04" w:rsidRPr="00E76A04" w:rsidRDefault="00E76A04" w:rsidP="00DB2788">
      <w:pPr>
        <w:jc w:val="both"/>
        <w:rPr>
          <w:lang w:val="de-DE"/>
        </w:rPr>
      </w:pPr>
    </w:p>
    <w:p w:rsidR="00233F36" w:rsidRPr="00C80000" w:rsidRDefault="00233F36" w:rsidP="00E1687C">
      <w:pPr>
        <w:jc w:val="both"/>
        <w:rPr>
          <w:lang w:val="de-DE"/>
        </w:rPr>
      </w:pPr>
      <w:bookmarkStart w:id="0" w:name="_GoBack"/>
      <w:bookmarkEnd w:id="0"/>
    </w:p>
    <w:sectPr w:rsidR="00233F36" w:rsidRPr="00C80000" w:rsidSect="005B76D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76A04"/>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5D4E93"/>
  <w15:docId w15:val="{067542CF-D11E-442D-B415-202D343F8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6A04"/>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Lgende">
    <w:name w:val="caption"/>
    <w:basedOn w:val="Normal"/>
    <w:next w:val="Normal"/>
    <w:uiPriority w:val="35"/>
    <w:unhideWhenUsed/>
    <w:qFormat/>
    <w:locked/>
    <w:rsid w:val="00E76A04"/>
    <w:pPr>
      <w:spacing w:after="160"/>
    </w:pPr>
    <w:rPr>
      <w:rFonts w:asciiTheme="minorHAnsi" w:eastAsiaTheme="minorHAnsi" w:hAnsiTheme="minorHAnsi" w:cstheme="minorBidi"/>
      <w:b/>
      <w:bCs/>
      <w:color w:val="404040" w:themeColor="text1" w:themeTint="BF"/>
      <w:sz w:val="16"/>
      <w:szCs w:val="16"/>
      <w:lang w:val="de-DE" w:eastAsia="en-US"/>
    </w:rPr>
  </w:style>
  <w:style w:type="paragraph" w:styleId="Paragraphedeliste">
    <w:name w:val="List Paragraph"/>
    <w:basedOn w:val="Normal"/>
    <w:uiPriority w:val="34"/>
    <w:qFormat/>
    <w:rsid w:val="00E76A04"/>
    <w:pPr>
      <w:spacing w:after="160" w:line="256" w:lineRule="auto"/>
      <w:ind w:left="720"/>
      <w:contextualSpacing/>
    </w:pPr>
    <w:rPr>
      <w:rFonts w:ascii="Calibri" w:eastAsia="Calibri" w:hAnsi="Calibri"/>
      <w:sz w:val="22"/>
      <w:szCs w:val="22"/>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3300</Words>
  <Characters>18150</Characters>
  <Application>Microsoft Office Word</Application>
  <DocSecurity>4</DocSecurity>
  <Lines>151</Lines>
  <Paragraphs>42</Paragraphs>
  <ScaleCrop>false</ScaleCrop>
  <Company/>
  <LinksUpToDate>false</LinksUpToDate>
  <CharactersWithSpaces>21408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2021-08-17T13:13:00Z</dcterms:created>
  <dcterms:modified xsi:type="dcterms:W3CDTF">2021-08-17T13:13:00Z</dcterms:modified>
</cp:coreProperties>
</file>